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683" w:rsidRPr="00264683" w:rsidRDefault="00264683" w:rsidP="00264683">
      <w:pPr>
        <w:spacing w:after="120"/>
        <w:jc w:val="center"/>
        <w:rPr>
          <w:rFonts w:ascii="Cambria" w:hAnsi="Cambria" w:cs="Tahoma"/>
          <w:b/>
          <w:color w:val="1F3864" w:themeColor="accent5" w:themeShade="80"/>
          <w:sz w:val="28"/>
          <w:szCs w:val="20"/>
        </w:rPr>
      </w:pPr>
      <w:r w:rsidRPr="00264683">
        <w:rPr>
          <w:rFonts w:ascii="Cambria" w:hAnsi="Cambria" w:cs="Tahoma"/>
          <w:b/>
          <w:color w:val="1F3864" w:themeColor="accent5" w:themeShade="80"/>
          <w:sz w:val="28"/>
          <w:szCs w:val="20"/>
        </w:rPr>
        <w:t>Основни елементи на Законодателния акт за цифровите услуги</w:t>
      </w:r>
    </w:p>
    <w:p w:rsidR="00264683" w:rsidRDefault="00264683" w:rsidP="00264683">
      <w:pPr>
        <w:spacing w:after="120"/>
        <w:jc w:val="center"/>
        <w:rPr>
          <w:rFonts w:ascii="Cambria" w:hAnsi="Cambria" w:cs="Tahoma"/>
          <w:b/>
          <w:sz w:val="28"/>
          <w:szCs w:val="20"/>
        </w:rPr>
      </w:pPr>
    </w:p>
    <w:p w:rsidR="00264683" w:rsidRPr="008F3ADE" w:rsidRDefault="00264683" w:rsidP="00264683">
      <w:pPr>
        <w:shd w:val="clear" w:color="auto" w:fill="002060"/>
        <w:spacing w:after="120"/>
        <w:jc w:val="both"/>
        <w:rPr>
          <w:rFonts w:ascii="Tahoma" w:hAnsi="Tahoma" w:cs="Tahoma"/>
          <w:sz w:val="20"/>
          <w:szCs w:val="20"/>
        </w:rPr>
      </w:pPr>
      <w:r w:rsidRPr="008F3ADE">
        <w:rPr>
          <w:rFonts w:ascii="Tahoma" w:hAnsi="Tahoma" w:cs="Tahoma"/>
          <w:b/>
          <w:sz w:val="20"/>
          <w:szCs w:val="20"/>
        </w:rPr>
        <w:t>Общи разпоредби (глава I):</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1:</w:t>
      </w:r>
      <w:r w:rsidRPr="008F3ADE">
        <w:rPr>
          <w:rFonts w:ascii="Tahoma" w:hAnsi="Tahoma" w:cs="Tahoma"/>
          <w:sz w:val="20"/>
          <w:szCs w:val="20"/>
        </w:rPr>
        <w:t xml:space="preserve"> Регламентът хармонизира правилата за посредническите услуги, той:</w:t>
      </w:r>
    </w:p>
    <w:p w:rsidR="00264683" w:rsidRPr="008F3ADE" w:rsidRDefault="00264683" w:rsidP="00264683">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Предлага условно освобождаване от отговорност на тези услуги;</w:t>
      </w:r>
    </w:p>
    <w:p w:rsidR="00264683" w:rsidRPr="008F3ADE" w:rsidRDefault="00264683" w:rsidP="00264683">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Поставя специфични задължения за надлежна проверка за опр</w:t>
      </w:r>
      <w:bookmarkStart w:id="0" w:name="_GoBack"/>
      <w:bookmarkEnd w:id="0"/>
      <w:r w:rsidRPr="008F3ADE">
        <w:rPr>
          <w:rFonts w:ascii="Tahoma" w:hAnsi="Tahoma" w:cs="Tahoma"/>
          <w:sz w:val="20"/>
          <w:szCs w:val="20"/>
        </w:rPr>
        <w:t>еделени категории от тези услуги;</w:t>
      </w:r>
    </w:p>
    <w:p w:rsidR="00264683" w:rsidRPr="008F3ADE" w:rsidRDefault="00264683" w:rsidP="00264683">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Позволява правилата за прилагане на самия регламент.</w:t>
      </w:r>
    </w:p>
    <w:p w:rsidR="00264683" w:rsidRPr="008F3ADE" w:rsidRDefault="00264683" w:rsidP="00264683">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Той се прилага екстериториално (член 1 (3)), но не и за която и да е друга услуга, която не е определена като „посредническа“ услуга (член 1 (4)).</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2:</w:t>
      </w:r>
      <w:r w:rsidRPr="008F3ADE">
        <w:rPr>
          <w:rFonts w:ascii="Tahoma" w:hAnsi="Tahoma" w:cs="Tahoma"/>
          <w:sz w:val="20"/>
          <w:szCs w:val="20"/>
        </w:rPr>
        <w:t xml:space="preserve"> Дава основни определения.</w:t>
      </w:r>
    </w:p>
    <w:p w:rsidR="00264683" w:rsidRPr="008F3ADE" w:rsidRDefault="00264683" w:rsidP="00264683">
      <w:pPr>
        <w:spacing w:after="120"/>
        <w:jc w:val="both"/>
        <w:rPr>
          <w:rFonts w:ascii="Tahoma" w:hAnsi="Tahoma" w:cs="Tahoma"/>
          <w:sz w:val="20"/>
          <w:szCs w:val="20"/>
        </w:rPr>
      </w:pPr>
      <w:r w:rsidRPr="008F3ADE">
        <w:rPr>
          <w:rFonts w:ascii="Tahoma" w:hAnsi="Tahoma" w:cs="Tahoma"/>
          <w:sz w:val="20"/>
          <w:szCs w:val="20"/>
        </w:rPr>
        <w:t>Например, „посредническа услуга“ се определя като:</w:t>
      </w:r>
    </w:p>
    <w:p w:rsidR="00264683" w:rsidRPr="008F3ADE" w:rsidRDefault="00264683" w:rsidP="00264683">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„Обикновен канал“, позволяващ предаване;</w:t>
      </w:r>
    </w:p>
    <w:p w:rsidR="00264683" w:rsidRPr="008F3ADE" w:rsidRDefault="00264683" w:rsidP="00264683">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„Кеширане“, което прави по-ефективно предаването по-нататък чрез временно съхранение;</w:t>
      </w:r>
    </w:p>
    <w:p w:rsidR="00264683" w:rsidRPr="008F3ADE" w:rsidRDefault="00264683" w:rsidP="00264683">
      <w:pPr>
        <w:pStyle w:val="ListParagraph"/>
        <w:numPr>
          <w:ilvl w:val="0"/>
          <w:numId w:val="1"/>
        </w:numPr>
        <w:spacing w:before="0" w:beforeAutospacing="0" w:after="120" w:afterAutospacing="0"/>
        <w:ind w:hanging="336"/>
        <w:jc w:val="both"/>
        <w:rPr>
          <w:rFonts w:ascii="Tahoma" w:hAnsi="Tahoma" w:cs="Tahoma"/>
          <w:sz w:val="20"/>
          <w:szCs w:val="20"/>
        </w:rPr>
      </w:pPr>
      <w:r w:rsidRPr="008F3ADE">
        <w:rPr>
          <w:rFonts w:ascii="Tahoma" w:hAnsi="Tahoma" w:cs="Tahoma"/>
          <w:sz w:val="20"/>
          <w:szCs w:val="20"/>
        </w:rPr>
        <w:t>„Хостинг“ за съхраняване на информацията по искане на получателя (член 2, буква е))</w:t>
      </w:r>
    </w:p>
    <w:p w:rsidR="00264683" w:rsidRPr="008F3ADE" w:rsidRDefault="00264683" w:rsidP="00264683">
      <w:pPr>
        <w:spacing w:after="120"/>
        <w:jc w:val="both"/>
        <w:rPr>
          <w:rFonts w:ascii="Tahoma" w:hAnsi="Tahoma" w:cs="Tahoma"/>
          <w:sz w:val="20"/>
          <w:szCs w:val="20"/>
        </w:rPr>
      </w:pPr>
      <w:r w:rsidRPr="008F3ADE">
        <w:rPr>
          <w:rFonts w:ascii="Tahoma" w:hAnsi="Tahoma" w:cs="Tahoma"/>
          <w:sz w:val="20"/>
          <w:szCs w:val="20"/>
        </w:rPr>
        <w:t>Определя „онлайн платформа“ като</w:t>
      </w:r>
      <w:r w:rsidRPr="008F3ADE">
        <w:rPr>
          <w:rFonts w:ascii="Tahoma" w:hAnsi="Tahoma" w:cs="Tahoma"/>
          <w:sz w:val="20"/>
          <w:szCs w:val="20"/>
          <w:lang w:val="en-GB"/>
        </w:rPr>
        <w:t xml:space="preserve"> </w:t>
      </w:r>
      <w:r w:rsidRPr="008F3ADE">
        <w:rPr>
          <w:rFonts w:ascii="Tahoma" w:hAnsi="Tahoma" w:cs="Tahoma"/>
          <w:sz w:val="20"/>
          <w:szCs w:val="20"/>
        </w:rPr>
        <w:t>доставчик на хостинг услуга, която разпространява обществена информация, освен ако тази дейност не е второстепенна или чисто допълнителна характеристика (член 1 (4) (</w:t>
      </w:r>
      <w:r w:rsidRPr="008F3ADE">
        <w:rPr>
          <w:rFonts w:ascii="Tahoma" w:hAnsi="Tahoma" w:cs="Tahoma"/>
          <w:sz w:val="20"/>
          <w:szCs w:val="20"/>
          <w:lang w:val="en-US"/>
        </w:rPr>
        <w:t>h</w:t>
      </w:r>
      <w:r w:rsidRPr="008F3ADE">
        <w:rPr>
          <w:rFonts w:ascii="Tahoma" w:hAnsi="Tahoma" w:cs="Tahoma"/>
          <w:sz w:val="20"/>
          <w:szCs w:val="20"/>
        </w:rPr>
        <w:t>)).</w:t>
      </w:r>
    </w:p>
    <w:p w:rsidR="00264683" w:rsidRPr="008F3ADE" w:rsidRDefault="00264683" w:rsidP="00264683">
      <w:pPr>
        <w:spacing w:after="120"/>
        <w:jc w:val="both"/>
        <w:rPr>
          <w:rFonts w:ascii="Tahoma" w:hAnsi="Tahoma" w:cs="Tahoma"/>
          <w:sz w:val="20"/>
          <w:szCs w:val="20"/>
        </w:rPr>
      </w:pPr>
      <w:r w:rsidRPr="008F3ADE">
        <w:rPr>
          <w:rFonts w:ascii="Tahoma" w:hAnsi="Tahoma" w:cs="Tahoma"/>
          <w:sz w:val="20"/>
          <w:szCs w:val="20"/>
        </w:rPr>
        <w:t>Дефинира „незаконно съдържание“ като всяка информация (включително тази, отнасяща се до продукт или услуга за продажба), която не е в съответствие със законодателството на Съюза или това на държава-членка.</w:t>
      </w:r>
    </w:p>
    <w:p w:rsidR="00264683" w:rsidRPr="008F3ADE" w:rsidRDefault="00264683" w:rsidP="00264683">
      <w:pPr>
        <w:shd w:val="clear" w:color="auto" w:fill="002060"/>
        <w:spacing w:after="120"/>
        <w:jc w:val="both"/>
        <w:rPr>
          <w:rFonts w:ascii="Tahoma" w:hAnsi="Tahoma" w:cs="Tahoma"/>
          <w:sz w:val="20"/>
          <w:szCs w:val="20"/>
        </w:rPr>
      </w:pPr>
      <w:r w:rsidRPr="008F3ADE">
        <w:rPr>
          <w:rFonts w:ascii="Tahoma" w:hAnsi="Tahoma" w:cs="Tahoma"/>
          <w:b/>
          <w:sz w:val="20"/>
          <w:szCs w:val="20"/>
        </w:rPr>
        <w:t>Отговорност на посредническите услуги (Глава II):</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Членове 3, 4, 5:</w:t>
      </w:r>
      <w:r w:rsidRPr="008F3ADE">
        <w:rPr>
          <w:rFonts w:ascii="Tahoma" w:hAnsi="Tahoma" w:cs="Tahoma"/>
          <w:sz w:val="20"/>
          <w:szCs w:val="20"/>
        </w:rPr>
        <w:t xml:space="preserve"> съдържат основанията за освобождаване, които трябва да изпълняват само услугите за канали, кеширане или хостинг, за да ги освободят от отговорност (те са идентични с предишната Директива за електронната търговия, с изключение на хостинг услугите, които не се ползват от освобождавания по въпроси свързани със защитата на потребителите при сключване на договори от разстояние).</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6:</w:t>
      </w:r>
      <w:r w:rsidRPr="008F3ADE">
        <w:rPr>
          <w:rFonts w:ascii="Tahoma" w:hAnsi="Tahoma" w:cs="Tahoma"/>
          <w:sz w:val="20"/>
          <w:szCs w:val="20"/>
        </w:rPr>
        <w:t xml:space="preserve"> Посредниците, които извършват свои собствени разследвания за спазване на законодателството, в никакъв случай не водят до невъзможност да продължат да се възползват от изключенията по чл. 3-5.</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7:</w:t>
      </w:r>
      <w:r w:rsidRPr="008F3ADE">
        <w:rPr>
          <w:rFonts w:ascii="Tahoma" w:hAnsi="Tahoma" w:cs="Tahoma"/>
          <w:sz w:val="20"/>
          <w:szCs w:val="20"/>
        </w:rPr>
        <w:t xml:space="preserve"> няма задължение за наблюдение на посредническите услуги.</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8:</w:t>
      </w:r>
      <w:r w:rsidRPr="008F3ADE">
        <w:rPr>
          <w:rFonts w:ascii="Tahoma" w:hAnsi="Tahoma" w:cs="Tahoma"/>
          <w:sz w:val="20"/>
          <w:szCs w:val="20"/>
        </w:rPr>
        <w:t xml:space="preserve"> посредниците действат срещу конкретни елементи с незаконно съдържание след получаване на искане за това от национален съдебен или административен орган. Те информират съответния орган какво конкретно действие е било предприето и кога. Координаторът за цифрови услуги на тази държава-членка изпраща копие от това искане на органа до всички други национални координатори за цифрови услуги (член 8, параграф 3).</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9:</w:t>
      </w:r>
      <w:r w:rsidRPr="008F3ADE">
        <w:rPr>
          <w:rFonts w:ascii="Tahoma" w:hAnsi="Tahoma" w:cs="Tahoma"/>
          <w:sz w:val="20"/>
          <w:szCs w:val="20"/>
        </w:rPr>
        <w:t xml:space="preserve"> посредниците предоставят информация при получаване на искането за това от национален съдебен или административен орган, за да подпомогнат спазването на настоящия регламент. Това не надхвърля информацията, която посредникът вече е събрал или е под негов контрол (член 9, буква б). Координаторът за цифрови услуги на тази държава-членка изпраща копие от това искане на органа до всички други национални координатори за цифрови услуги (член 9, параграф 3).</w:t>
      </w:r>
    </w:p>
    <w:p w:rsidR="00264683" w:rsidRPr="008F3ADE" w:rsidRDefault="00264683" w:rsidP="00264683">
      <w:pPr>
        <w:shd w:val="clear" w:color="auto" w:fill="002060"/>
        <w:spacing w:after="120"/>
        <w:jc w:val="both"/>
        <w:rPr>
          <w:rFonts w:ascii="Tahoma" w:hAnsi="Tahoma" w:cs="Tahoma"/>
          <w:sz w:val="20"/>
          <w:szCs w:val="20"/>
        </w:rPr>
      </w:pPr>
      <w:r w:rsidRPr="008F3ADE">
        <w:rPr>
          <w:rFonts w:ascii="Tahoma" w:hAnsi="Tahoma" w:cs="Tahoma"/>
          <w:b/>
          <w:sz w:val="20"/>
          <w:szCs w:val="20"/>
        </w:rPr>
        <w:t>Задължения за надлежна проверка (глава III):</w:t>
      </w:r>
    </w:p>
    <w:p w:rsidR="00264683" w:rsidRPr="008F3ADE" w:rsidRDefault="00264683" w:rsidP="00264683">
      <w:pPr>
        <w:spacing w:after="120"/>
        <w:jc w:val="both"/>
        <w:rPr>
          <w:rFonts w:ascii="Tahoma" w:hAnsi="Tahoma" w:cs="Tahoma"/>
          <w:b/>
          <w:sz w:val="20"/>
          <w:szCs w:val="20"/>
        </w:rPr>
      </w:pPr>
      <w:r w:rsidRPr="008F3ADE">
        <w:rPr>
          <w:rFonts w:ascii="Tahoma" w:hAnsi="Tahoma" w:cs="Tahoma"/>
          <w:b/>
          <w:sz w:val="20"/>
          <w:szCs w:val="20"/>
        </w:rPr>
        <w:t>РАЗДЕЛ 1 - Разпоредби, приложими за всички посреднически услуги:</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10:</w:t>
      </w:r>
      <w:r w:rsidRPr="008F3ADE">
        <w:rPr>
          <w:rFonts w:ascii="Tahoma" w:hAnsi="Tahoma" w:cs="Tahoma"/>
          <w:sz w:val="20"/>
          <w:szCs w:val="20"/>
        </w:rPr>
        <w:t xml:space="preserve"> ако са установени в ЕС, те трябва да създадат единна точка за контакт, за да позволят директна електронна комуникация с тях от органите на държавите-членки, Комисията и Съвета, за да подпомогнат прилагането на настоящия регламент.</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lastRenderedPageBreak/>
        <w:t>Член 11:</w:t>
      </w:r>
      <w:r w:rsidRPr="008F3ADE">
        <w:rPr>
          <w:rFonts w:ascii="Tahoma" w:hAnsi="Tahoma" w:cs="Tahoma"/>
          <w:sz w:val="20"/>
          <w:szCs w:val="20"/>
        </w:rPr>
        <w:t xml:space="preserve"> ако не е установен в ЕС, трябва да посочи законен представител в една държава-членка, с който да бъде установен контакт във връзка със спазването или прилагането на настоящия регламент.</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12:</w:t>
      </w:r>
      <w:r w:rsidRPr="008F3ADE">
        <w:rPr>
          <w:rFonts w:ascii="Tahoma" w:hAnsi="Tahoma" w:cs="Tahoma"/>
          <w:sz w:val="20"/>
          <w:szCs w:val="20"/>
        </w:rPr>
        <w:t xml:space="preserve"> всички инструменти, използвани за модериране на съдържание, трябва да бъдат публично оповестени в условията на услугите.</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13:</w:t>
      </w:r>
      <w:r w:rsidRPr="008F3ADE">
        <w:rPr>
          <w:rFonts w:ascii="Tahoma" w:hAnsi="Tahoma" w:cs="Tahoma"/>
          <w:sz w:val="20"/>
          <w:szCs w:val="20"/>
        </w:rPr>
        <w:t xml:space="preserve"> трябва да публикуват поне веднъж годишно подробни доклади за прозрачност (напр. Получени поръчки, вид незаконно съдържание, подадени известия, резултати от практики за модериране на съдържание по собствена инициатива, жалби). Тези задължения не се прилагат за посредниците на МСП (член 13, параграф 2).</w:t>
      </w:r>
    </w:p>
    <w:p w:rsidR="00264683" w:rsidRPr="008F3ADE" w:rsidRDefault="00264683" w:rsidP="00264683">
      <w:pPr>
        <w:spacing w:after="120"/>
        <w:jc w:val="both"/>
        <w:rPr>
          <w:rFonts w:ascii="Tahoma" w:hAnsi="Tahoma" w:cs="Tahoma"/>
          <w:b/>
          <w:sz w:val="20"/>
          <w:szCs w:val="20"/>
        </w:rPr>
      </w:pPr>
      <w:r w:rsidRPr="008F3ADE">
        <w:rPr>
          <w:rFonts w:ascii="Tahoma" w:hAnsi="Tahoma" w:cs="Tahoma"/>
          <w:b/>
          <w:sz w:val="20"/>
          <w:szCs w:val="20"/>
        </w:rPr>
        <w:t>РАЗДЕЛ 2 - Допълнителни разпоредби, приложими за хостинг услуги, включително онлайн платформи:</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14:</w:t>
      </w:r>
      <w:r w:rsidRPr="008F3ADE">
        <w:rPr>
          <w:rFonts w:ascii="Tahoma" w:hAnsi="Tahoma" w:cs="Tahoma"/>
          <w:sz w:val="20"/>
          <w:szCs w:val="20"/>
        </w:rPr>
        <w:t xml:space="preserve"> трябва да въведат механизми, които да позволят на всяко лице да им сигнализира за незаконно съдържание. Ако разпоредбите на член 14, параграф 2 се поддържат в детайлите на съдържанието, отбелязано с флаг, ще се счита, че това поражда действителни знания. Той изпраща копие от тази информация на физическото или юридическото лице, което преди това е подало незаконното съдържание, член 14 (4,5).</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15:</w:t>
      </w:r>
      <w:r w:rsidRPr="008F3ADE">
        <w:rPr>
          <w:rFonts w:ascii="Tahoma" w:hAnsi="Tahoma" w:cs="Tahoma"/>
          <w:sz w:val="20"/>
          <w:szCs w:val="20"/>
        </w:rPr>
        <w:t xml:space="preserve"> информира получателя, подал незаконното съдържание на решението за премахването му, най-късно до момента на предприемане на това действие, както и причините за това решение. След това тази информация се публикува в публична база данни на Комисията (без оглед на лични данни).</w:t>
      </w:r>
    </w:p>
    <w:p w:rsidR="00264683" w:rsidRPr="008F3ADE" w:rsidRDefault="00264683" w:rsidP="00264683">
      <w:pPr>
        <w:spacing w:after="120"/>
        <w:jc w:val="both"/>
        <w:rPr>
          <w:rFonts w:ascii="Tahoma" w:hAnsi="Tahoma" w:cs="Tahoma"/>
          <w:b/>
          <w:sz w:val="20"/>
          <w:szCs w:val="20"/>
        </w:rPr>
      </w:pPr>
      <w:r w:rsidRPr="008F3ADE">
        <w:rPr>
          <w:rFonts w:ascii="Tahoma" w:hAnsi="Tahoma" w:cs="Tahoma"/>
          <w:b/>
          <w:sz w:val="20"/>
          <w:szCs w:val="20"/>
        </w:rPr>
        <w:t>РАЗДЕЛ 3 - Допълнителни разпоредби, приложими за онлайн платформи:</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16:</w:t>
      </w:r>
      <w:r w:rsidRPr="008F3ADE">
        <w:rPr>
          <w:rFonts w:ascii="Tahoma" w:hAnsi="Tahoma" w:cs="Tahoma"/>
          <w:sz w:val="20"/>
          <w:szCs w:val="20"/>
        </w:rPr>
        <w:t xml:space="preserve"> този раздел не се прилага за МСП.</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17:</w:t>
      </w:r>
      <w:r w:rsidRPr="008F3ADE">
        <w:rPr>
          <w:rFonts w:ascii="Tahoma" w:hAnsi="Tahoma" w:cs="Tahoma"/>
          <w:sz w:val="20"/>
          <w:szCs w:val="20"/>
        </w:rPr>
        <w:t xml:space="preserve"> осигурява система за обработка на жалби за получатели на решения, чието съдържание е премахнато от платформа. Това е възможно до 6 месеца след вземане на решението. Платформата трябва да взема решението и да го основава на допълнителни доказателства (член 17, параграф 2) и да може да отмени предишното си решение или да предложи възможност за допълнителни механизми за извънсъдебни спорове (член 17, параграф 4). Платформата не взема тези решения единствено въз основа на автоматизирани средства (член 17, параграф 5).</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18:</w:t>
      </w:r>
      <w:r w:rsidRPr="008F3ADE">
        <w:rPr>
          <w:rFonts w:ascii="Tahoma" w:hAnsi="Tahoma" w:cs="Tahoma"/>
          <w:sz w:val="20"/>
          <w:szCs w:val="20"/>
        </w:rPr>
        <w:t xml:space="preserve"> получателите на решения имат право да изберат всеки орган за извънсъдебно уреждане на спорове, считан за приемлив за координатора на цифровите услуги (член 18, параграф 2). Платформата винаги плаща за производството, независимо дали спечели или загуби спора (член 18, параграф 3).</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19:</w:t>
      </w:r>
      <w:r w:rsidRPr="008F3ADE">
        <w:rPr>
          <w:rFonts w:ascii="Tahoma" w:hAnsi="Tahoma" w:cs="Tahoma"/>
          <w:sz w:val="20"/>
          <w:szCs w:val="20"/>
        </w:rPr>
        <w:t xml:space="preserve"> Статутът на „доверен флагър“ може да бъде присъден от националния координатор за цифрови услуги на всеки кандидат, демонстриращ съответни качества (напр. Експертиза, представляващ колективен интерес, усърден), посочени в член 19, параграф 2. Статутът може да бъде отменен за чести грешки (член 19, параграф 5). Статутът на „доверен флагър“ означава, че техните известия по чл. 14 се разглеждат приоритетно от платформите (чл. 19 (1)).</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20:</w:t>
      </w:r>
      <w:r w:rsidRPr="008F3ADE">
        <w:rPr>
          <w:rFonts w:ascii="Tahoma" w:hAnsi="Tahoma" w:cs="Tahoma"/>
          <w:sz w:val="20"/>
          <w:szCs w:val="20"/>
        </w:rPr>
        <w:t xml:space="preserve"> преустановява своите услуги за тези, които злоупотребяват чрез често качване на незаконно съдържание (член 20 (1)), или чрез неоснователни жалби (член 20 (2)).</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21:</w:t>
      </w:r>
      <w:r w:rsidRPr="008F3ADE">
        <w:rPr>
          <w:rFonts w:ascii="Tahoma" w:hAnsi="Tahoma" w:cs="Tahoma"/>
          <w:sz w:val="20"/>
          <w:szCs w:val="20"/>
        </w:rPr>
        <w:t xml:space="preserve"> информира правоприлагащите или съдебните органи, когато узнаят за всяко тежко престъпление, което може да се случи („подозрение“, член 21, параграф 1). Тази информация се изпраща на органите, където се намира заподозреният нарушител или където се намира жертвата.</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22:</w:t>
      </w:r>
      <w:r w:rsidRPr="008F3ADE">
        <w:rPr>
          <w:rFonts w:ascii="Tahoma" w:hAnsi="Tahoma" w:cs="Tahoma"/>
          <w:sz w:val="20"/>
          <w:szCs w:val="20"/>
        </w:rPr>
        <w:t xml:space="preserve"> когато онлайн платформата позволява на потребителите да купуват от търговци, тя позволява на търговците да предлагат тези стоки или услуги само ако са получили определена информация (например име, идентификация, данни за банкова сметка, имейл адрес, данни за търговския регистър и самосертифициране с ангажимент да прави само законни оферти). Платформата полага разумни усилия, за да прецени дали получената информация е надеждна, като използва свободно достъпни онлайн бази данни или искания до търговеца за подкрепящи документи (член 22, параграф 2) - „Познавйте вашия бизнес клиент“. Информацията трябва да се съхранява от платформата за срока на договорните им отношения с търговеца (член 22, </w:t>
      </w:r>
      <w:r w:rsidRPr="008F3ADE">
        <w:rPr>
          <w:rFonts w:ascii="Tahoma" w:hAnsi="Tahoma" w:cs="Tahoma"/>
          <w:sz w:val="20"/>
          <w:szCs w:val="20"/>
        </w:rPr>
        <w:lastRenderedPageBreak/>
        <w:t>параграф 4). Нечувствителните аспекти на тези данни се предоставят на потребителите на платформата (член 22, параграф 6).</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23:</w:t>
      </w:r>
      <w:r w:rsidRPr="008F3ADE">
        <w:rPr>
          <w:rFonts w:ascii="Tahoma" w:hAnsi="Tahoma" w:cs="Tahoma"/>
          <w:sz w:val="20"/>
          <w:szCs w:val="20"/>
        </w:rPr>
        <w:t xml:space="preserve"> в допълнение към отчитането по член 13, на всеки 6 месеца онлайн посредниците публикуват средномесечните активни получатели на тяхната услуга.</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24:</w:t>
      </w:r>
      <w:r w:rsidRPr="008F3ADE">
        <w:rPr>
          <w:rFonts w:ascii="Tahoma" w:hAnsi="Tahoma" w:cs="Tahoma"/>
          <w:sz w:val="20"/>
          <w:szCs w:val="20"/>
        </w:rPr>
        <w:t xml:space="preserve"> ако се показва реклама, интерфейсите трябва да гарантират, че потребителите на услугата могат да идентифицират, за всяка конкретна използвана реклама: че информацията наистина е реклама, физическото / юридическото лице, от името на което се показва, и значима информация за основните параметри, които са използвани за да се определи защо потребителят вижда конкретната реклама.</w:t>
      </w:r>
    </w:p>
    <w:p w:rsidR="00264683" w:rsidRPr="008F3ADE" w:rsidRDefault="00264683" w:rsidP="00264683">
      <w:pPr>
        <w:spacing w:after="120"/>
        <w:jc w:val="both"/>
        <w:rPr>
          <w:rFonts w:ascii="Tahoma" w:hAnsi="Tahoma" w:cs="Tahoma"/>
          <w:b/>
          <w:sz w:val="20"/>
          <w:szCs w:val="20"/>
        </w:rPr>
      </w:pPr>
      <w:r w:rsidRPr="008F3ADE">
        <w:rPr>
          <w:rFonts w:ascii="Tahoma" w:hAnsi="Tahoma" w:cs="Tahoma"/>
          <w:b/>
          <w:sz w:val="20"/>
          <w:szCs w:val="20"/>
        </w:rPr>
        <w:t>РАЗДЕЛ 4 - Допълнителни задължения за много големи платформи:</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25:</w:t>
      </w:r>
      <w:r w:rsidRPr="008F3ADE">
        <w:rPr>
          <w:rFonts w:ascii="Tahoma" w:hAnsi="Tahoma" w:cs="Tahoma"/>
          <w:sz w:val="20"/>
          <w:szCs w:val="20"/>
        </w:rPr>
        <w:t xml:space="preserve"> определя се като онлайн платформа, която предоставя услуги на 45 милиона (или повече) активни получатели месечно. На Комисията се предоставя правомощието да приема делегирани актове за коригиране на тези критерии въз основа на увеличаване / намаляване на населението на ЕС, за да съответства на 10% от това население (член 25, параграф 2). Координаторът за цифрови услуги проверява и приема решения относно това кои са много големите онлайн платформи най-малко на всеки 6 месеца. Комисията публикува този списък в Официалния вестник на ЕС (член 25, параграф 4).</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26:</w:t>
      </w:r>
      <w:r w:rsidRPr="008F3ADE">
        <w:rPr>
          <w:rFonts w:ascii="Tahoma" w:hAnsi="Tahoma" w:cs="Tahoma"/>
          <w:sz w:val="20"/>
          <w:szCs w:val="20"/>
        </w:rPr>
        <w:t xml:space="preserve"> ежегодно идентифициране на значителни системни рискове, свързани с: разпространение на незаконно съдържание, негативни ефекти върху основните права или манипулиране на услуги с ефект върху общественото здраве, непълнолетните, гражданския дискурс или изборните процеси и обществената сигурност.</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27:</w:t>
      </w:r>
      <w:r w:rsidRPr="008F3ADE">
        <w:rPr>
          <w:rFonts w:ascii="Tahoma" w:hAnsi="Tahoma" w:cs="Tahoma"/>
          <w:sz w:val="20"/>
          <w:szCs w:val="20"/>
        </w:rPr>
        <w:t xml:space="preserve"> въвеждане на мерки за смекчаване на въздействието на такива системни рискове. Съветът и Комисията публикуват годишни доклади за най-изявените и повтарящи се системни рискове (член 27, параграф 2).</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28:</w:t>
      </w:r>
      <w:r w:rsidRPr="008F3ADE">
        <w:rPr>
          <w:rFonts w:ascii="Tahoma" w:hAnsi="Tahoma" w:cs="Tahoma"/>
          <w:sz w:val="20"/>
          <w:szCs w:val="20"/>
        </w:rPr>
        <w:t xml:space="preserve"> подлежат на годишни одити, за собствена сметка, за оценка на спазването на задълженията за надлежна проверка и всякакви ангажименти за поведение или кризисни протоколи, извършени по смисъла на настоящия регламент. Когато независимият одит не е положителен, се дават оперативни препоръки за постигане на съответствие (член 28, параграф 3, буква е)). Ако платформата реши да не ги прилага, те трябва да обяснят защо и какви алтернативи за същия ефект са били извършени (член 28, параграф 4).</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29:</w:t>
      </w:r>
      <w:r w:rsidRPr="008F3ADE">
        <w:rPr>
          <w:rFonts w:ascii="Tahoma" w:hAnsi="Tahoma" w:cs="Tahoma"/>
          <w:sz w:val="20"/>
          <w:szCs w:val="20"/>
        </w:rPr>
        <w:t xml:space="preserve"> определя параметри, използвани за захранване на техните препоръчващи системи в техните условия, както и опции за потребителите на платформата да ги модифицират или да им влияят в поне една друга опция, която не се основава на „профилиране“ по смисъла на GDPR. Потребителят трябва също така да може да променя предпочитаната от тях опция, за да определи реда на информацията, която му се представя.</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30:</w:t>
      </w:r>
      <w:r w:rsidRPr="008F3ADE">
        <w:rPr>
          <w:rFonts w:ascii="Tahoma" w:hAnsi="Tahoma" w:cs="Tahoma"/>
          <w:sz w:val="20"/>
          <w:szCs w:val="20"/>
        </w:rPr>
        <w:t xml:space="preserve"> съставя и прави публично достъпен, до една година след показването на рекламата, информация във връзка със: съдържанието, от чието име е показана, периода, в който е показана, независимо дали е предназначена за една или повече конкретни групи и общия брой достигнати получатели.</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31:</w:t>
      </w:r>
      <w:r w:rsidRPr="008F3ADE">
        <w:rPr>
          <w:rFonts w:ascii="Tahoma" w:hAnsi="Tahoma" w:cs="Tahoma"/>
          <w:sz w:val="20"/>
          <w:szCs w:val="20"/>
        </w:rPr>
        <w:t xml:space="preserve"> при обосновано искане предоставя на координатора на цифрови услуги достъп до данни, необходими за наблюдение спазването на настоящия регламент. Това също е достъпно за проверени изследователи, натоварени да идентифицират системни рискове (член 31, параграф 2).</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32:</w:t>
      </w:r>
      <w:r w:rsidRPr="008F3ADE">
        <w:rPr>
          <w:rFonts w:ascii="Tahoma" w:hAnsi="Tahoma" w:cs="Tahoma"/>
          <w:sz w:val="20"/>
          <w:szCs w:val="20"/>
        </w:rPr>
        <w:t xml:space="preserve"> назначава един или повече служители, отговарящи за наблюдението по спазването на настоящия регламент. Те докладват директно на най-високото ниво на управление на платформата (член 32, параграф 6).</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33:</w:t>
      </w:r>
      <w:r w:rsidRPr="008F3ADE">
        <w:rPr>
          <w:rFonts w:ascii="Tahoma" w:hAnsi="Tahoma" w:cs="Tahoma"/>
          <w:sz w:val="20"/>
          <w:szCs w:val="20"/>
        </w:rPr>
        <w:t xml:space="preserve"> публикува доклади за прозрачност на всеки 6 месеца и публикува годишния си одитен доклад, когато го представя на координатора за цифрови услуги. Когато платформата смята, че публикуването на информация може да доведе до разкриване на поверителна информация, която може да подкопае обществената сигурност или да навреди на получателите, тя може да премахне такава информация.</w:t>
      </w:r>
    </w:p>
    <w:p w:rsidR="00264683" w:rsidRPr="008F3ADE" w:rsidRDefault="00264683" w:rsidP="00264683">
      <w:pPr>
        <w:spacing w:after="120"/>
        <w:jc w:val="both"/>
        <w:rPr>
          <w:rFonts w:ascii="Tahoma" w:hAnsi="Tahoma" w:cs="Tahoma"/>
          <w:b/>
          <w:sz w:val="20"/>
          <w:szCs w:val="20"/>
        </w:rPr>
      </w:pPr>
      <w:r w:rsidRPr="008F3ADE">
        <w:rPr>
          <w:rFonts w:ascii="Tahoma" w:hAnsi="Tahoma" w:cs="Tahoma"/>
          <w:b/>
          <w:sz w:val="20"/>
          <w:szCs w:val="20"/>
        </w:rPr>
        <w:t>РАЗДЕЛ 5 - Други разпоредби:</w:t>
      </w:r>
    </w:p>
    <w:p w:rsidR="00264683" w:rsidRDefault="00264683" w:rsidP="00264683">
      <w:pPr>
        <w:spacing w:after="120"/>
        <w:jc w:val="both"/>
        <w:rPr>
          <w:rFonts w:ascii="Tahoma" w:hAnsi="Tahoma" w:cs="Tahoma"/>
          <w:sz w:val="20"/>
          <w:szCs w:val="20"/>
        </w:rPr>
      </w:pPr>
      <w:r w:rsidRPr="008F3ADE">
        <w:rPr>
          <w:rFonts w:ascii="Tahoma" w:hAnsi="Tahoma" w:cs="Tahoma"/>
          <w:b/>
          <w:sz w:val="20"/>
          <w:szCs w:val="20"/>
          <w:u w:val="single"/>
        </w:rPr>
        <w:lastRenderedPageBreak/>
        <w:t>Член 37:</w:t>
      </w:r>
      <w:r w:rsidRPr="008F3ADE">
        <w:rPr>
          <w:rFonts w:ascii="Tahoma" w:hAnsi="Tahoma" w:cs="Tahoma"/>
          <w:sz w:val="20"/>
          <w:szCs w:val="20"/>
        </w:rPr>
        <w:t xml:space="preserve"> Съветът може да препоръча съставянето на кризисни протоколи за справяне с извънредни обстоятелства, засягащи обществената сигурност или общественото здраве.</w:t>
      </w:r>
    </w:p>
    <w:p w:rsidR="00264683" w:rsidRPr="008F3ADE" w:rsidRDefault="00264683" w:rsidP="00264683">
      <w:pPr>
        <w:spacing w:after="120"/>
        <w:jc w:val="both"/>
        <w:rPr>
          <w:rFonts w:ascii="Tahoma" w:hAnsi="Tahoma" w:cs="Tahoma"/>
          <w:sz w:val="20"/>
          <w:szCs w:val="20"/>
        </w:rPr>
      </w:pPr>
    </w:p>
    <w:p w:rsidR="00264683" w:rsidRPr="008F3ADE" w:rsidRDefault="00264683" w:rsidP="00264683">
      <w:pPr>
        <w:shd w:val="clear" w:color="auto" w:fill="002060"/>
        <w:spacing w:after="120"/>
        <w:jc w:val="both"/>
        <w:rPr>
          <w:rFonts w:ascii="Tahoma" w:hAnsi="Tahoma" w:cs="Tahoma"/>
          <w:sz w:val="20"/>
          <w:szCs w:val="20"/>
        </w:rPr>
      </w:pPr>
      <w:r w:rsidRPr="008F3ADE">
        <w:rPr>
          <w:rFonts w:ascii="Tahoma" w:hAnsi="Tahoma" w:cs="Tahoma"/>
          <w:b/>
          <w:sz w:val="20"/>
          <w:szCs w:val="20"/>
        </w:rPr>
        <w:t>Прилагане, сътрудничество, санкции и влизане в сила (Глава IV):</w:t>
      </w:r>
    </w:p>
    <w:p w:rsidR="00264683" w:rsidRPr="008F3ADE" w:rsidRDefault="00264683" w:rsidP="00264683">
      <w:pPr>
        <w:spacing w:after="120"/>
        <w:jc w:val="both"/>
        <w:rPr>
          <w:rFonts w:ascii="Tahoma" w:hAnsi="Tahoma" w:cs="Tahoma"/>
          <w:b/>
          <w:sz w:val="20"/>
          <w:szCs w:val="20"/>
        </w:rPr>
      </w:pPr>
      <w:r w:rsidRPr="008F3ADE">
        <w:rPr>
          <w:rFonts w:ascii="Tahoma" w:hAnsi="Tahoma" w:cs="Tahoma"/>
          <w:b/>
          <w:sz w:val="20"/>
          <w:szCs w:val="20"/>
        </w:rPr>
        <w:t>РАЗДЕЛ 1 - Национални органи (координатор на цифрови услуги):</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38:</w:t>
      </w:r>
      <w:r w:rsidRPr="008F3ADE">
        <w:rPr>
          <w:rFonts w:ascii="Tahoma" w:hAnsi="Tahoma" w:cs="Tahoma"/>
          <w:sz w:val="20"/>
          <w:szCs w:val="20"/>
        </w:rPr>
        <w:t xml:space="preserve"> Държавите-членки определят един или повече компетентни органи, отговорни за прилагането на настоящия регламент. Един от тях ще бъде координаторът на цифрови услуги (освен ако държава-членка не е възложила определени специфични задачи или сектори на други органи).</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40:</w:t>
      </w:r>
      <w:r w:rsidRPr="008F3ADE">
        <w:rPr>
          <w:rFonts w:ascii="Tahoma" w:hAnsi="Tahoma" w:cs="Tahoma"/>
          <w:sz w:val="20"/>
          <w:szCs w:val="20"/>
        </w:rPr>
        <w:t xml:space="preserve"> Юрисдикцията се намира там, където се намира основното учреждение на посредника. Ако са извън ЕС, юрисдикциите се определят от местожителството на законния му представител.</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41:</w:t>
      </w:r>
      <w:r w:rsidRPr="008F3ADE">
        <w:rPr>
          <w:rFonts w:ascii="Tahoma" w:hAnsi="Tahoma" w:cs="Tahoma"/>
          <w:sz w:val="20"/>
          <w:szCs w:val="20"/>
        </w:rPr>
        <w:t xml:space="preserve"> Координаторите на цифрови услуги запазват правомощията си за разследване, за да: изискват информация за предполагаеми нарушения, да извършват проверки на място или да интервюират членове на персонала (член 41, параграф 1). Те също така запазват правомощията си за изпълнение, за да: приемат ангажименти, разпореждат прекратяване, налагат средства за правна защита, периодични санкции или временни мерки, за да се избегне рискът от сериозна вреда (член 41, параграф 2).</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42:</w:t>
      </w:r>
      <w:r w:rsidRPr="008F3ADE">
        <w:rPr>
          <w:rFonts w:ascii="Tahoma" w:hAnsi="Tahoma" w:cs="Tahoma"/>
          <w:sz w:val="20"/>
          <w:szCs w:val="20"/>
        </w:rPr>
        <w:t xml:space="preserve"> наказанията за неспазване на настоящия регламент не трябва да надвишават 6% годишен оборот (периодично до 5%); липсата на коректна информация в помощ на разследванията не надвишава 1% от годишния оборот.</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43:</w:t>
      </w:r>
      <w:r w:rsidRPr="008F3ADE">
        <w:rPr>
          <w:rFonts w:ascii="Tahoma" w:hAnsi="Tahoma" w:cs="Tahoma"/>
          <w:sz w:val="20"/>
          <w:szCs w:val="20"/>
          <w:u w:val="single"/>
        </w:rPr>
        <w:t xml:space="preserve"> </w:t>
      </w:r>
      <w:r w:rsidRPr="008F3ADE">
        <w:rPr>
          <w:rFonts w:ascii="Tahoma" w:hAnsi="Tahoma" w:cs="Tahoma"/>
          <w:sz w:val="20"/>
          <w:szCs w:val="20"/>
        </w:rPr>
        <w:t>Потребителите на услугата могат директно да подават твърдения за несъответствие до координатора на цифровите услуги.</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44:</w:t>
      </w:r>
      <w:r w:rsidRPr="008F3ADE">
        <w:rPr>
          <w:rFonts w:ascii="Tahoma" w:hAnsi="Tahoma" w:cs="Tahoma"/>
          <w:sz w:val="20"/>
          <w:szCs w:val="20"/>
        </w:rPr>
        <w:t xml:space="preserve"> Координаторите на цифрови услуги изготвят годишни доклади за дейността си и ги правят достъпни за обществеността.</w:t>
      </w:r>
    </w:p>
    <w:p w:rsidR="00264683" w:rsidRPr="008F3ADE" w:rsidRDefault="00264683" w:rsidP="00264683">
      <w:pPr>
        <w:spacing w:after="120"/>
        <w:jc w:val="both"/>
        <w:rPr>
          <w:rFonts w:ascii="Tahoma" w:hAnsi="Tahoma" w:cs="Tahoma"/>
          <w:b/>
          <w:sz w:val="20"/>
          <w:szCs w:val="20"/>
        </w:rPr>
      </w:pPr>
      <w:r w:rsidRPr="008F3ADE">
        <w:rPr>
          <w:rFonts w:ascii="Tahoma" w:hAnsi="Tahoma" w:cs="Tahoma"/>
          <w:b/>
          <w:sz w:val="20"/>
          <w:szCs w:val="20"/>
        </w:rPr>
        <w:t>РАЗДЕЛ 2 - Европейски съвет за цифрови услуги:</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Членове 47, 48:</w:t>
      </w:r>
      <w:r w:rsidRPr="008F3ADE">
        <w:rPr>
          <w:rFonts w:ascii="Tahoma" w:hAnsi="Tahoma" w:cs="Tahoma"/>
          <w:sz w:val="20"/>
          <w:szCs w:val="20"/>
        </w:rPr>
        <w:t xml:space="preserve"> Съветът е създаден и се състои от всички национални координатори за цифрови услуги. Той съветва относно последователното прилагане, възникващите проблеми на единния пазар и съдейства за надзора на различни големи платформи.</w:t>
      </w:r>
    </w:p>
    <w:p w:rsidR="00264683" w:rsidRPr="008F3ADE" w:rsidRDefault="00264683" w:rsidP="00264683">
      <w:pPr>
        <w:spacing w:after="120"/>
        <w:jc w:val="both"/>
        <w:rPr>
          <w:rFonts w:ascii="Tahoma" w:hAnsi="Tahoma" w:cs="Tahoma"/>
          <w:b/>
          <w:sz w:val="20"/>
          <w:szCs w:val="20"/>
        </w:rPr>
      </w:pPr>
      <w:r w:rsidRPr="008F3ADE">
        <w:rPr>
          <w:rFonts w:ascii="Tahoma" w:hAnsi="Tahoma" w:cs="Tahoma"/>
          <w:b/>
          <w:sz w:val="20"/>
          <w:szCs w:val="20"/>
        </w:rPr>
        <w:t>РАЗДЕЛ 3 - Надзор, разследване, прилагане и наблюдение по отношение на много големи платформи:</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50:</w:t>
      </w:r>
      <w:r w:rsidRPr="008F3ADE">
        <w:rPr>
          <w:rFonts w:ascii="Tahoma" w:hAnsi="Tahoma" w:cs="Tahoma"/>
          <w:sz w:val="20"/>
          <w:szCs w:val="20"/>
        </w:rPr>
        <w:t xml:space="preserve"> когато координаторът на цифрови услуги на предприятието приеме решение за нарушение или 3 други координатора на дигитални услуги по местоназначение препоръчват разследване на потенциално нарушение на много голяма платформа съгласно специфичните задължения на глава III, раздел 4, той използва усъвършенстваната система за надзор.</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51-62:</w:t>
      </w:r>
      <w:r w:rsidRPr="008F3ADE">
        <w:rPr>
          <w:rFonts w:ascii="Tahoma" w:hAnsi="Tahoma" w:cs="Tahoma"/>
          <w:sz w:val="20"/>
          <w:szCs w:val="20"/>
        </w:rPr>
        <w:t xml:space="preserve"> Комисията има правомощия да инициира производства, да изисква информация, да извършва разследвания (включително достъп до бази данни и алгоритми), да приема ангажименти, да определя глоби и да разпорежда временни мерки, за да гарантира спазването на настоящия регламент. Давностният срок за такива мерки е 5 години.</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 72:</w:t>
      </w:r>
      <w:r w:rsidRPr="008F3ADE">
        <w:rPr>
          <w:rFonts w:ascii="Tahoma" w:hAnsi="Tahoma" w:cs="Tahoma"/>
          <w:sz w:val="20"/>
          <w:szCs w:val="20"/>
        </w:rPr>
        <w:t xml:space="preserve"> Изменението на планирана директива във връзка с представителни действия за защита на колективните интереси на потребителите е направено, за да включва възможността за предявяване на представителни искове поради неспазване на настоящия регламент.</w:t>
      </w:r>
    </w:p>
    <w:p w:rsidR="00264683" w:rsidRPr="008F3ADE" w:rsidRDefault="00264683" w:rsidP="00264683">
      <w:pPr>
        <w:spacing w:after="120"/>
        <w:jc w:val="both"/>
        <w:rPr>
          <w:rFonts w:ascii="Tahoma" w:hAnsi="Tahoma" w:cs="Tahoma"/>
          <w:sz w:val="20"/>
          <w:szCs w:val="20"/>
        </w:rPr>
      </w:pPr>
      <w:r w:rsidRPr="008F3ADE">
        <w:rPr>
          <w:rFonts w:ascii="Tahoma" w:hAnsi="Tahoma" w:cs="Tahoma"/>
          <w:b/>
          <w:sz w:val="20"/>
          <w:szCs w:val="20"/>
          <w:u w:val="single"/>
        </w:rPr>
        <w:t>Членове 73, 74:</w:t>
      </w:r>
      <w:r w:rsidRPr="008F3ADE">
        <w:rPr>
          <w:rFonts w:ascii="Tahoma" w:hAnsi="Tahoma" w:cs="Tahoma"/>
          <w:sz w:val="20"/>
          <w:szCs w:val="20"/>
        </w:rPr>
        <w:t xml:space="preserve"> оценката на настоящия регламент се извършва 3 години след датата на прилагане. Той се прилага 3 месеца след влизане в сила.</w:t>
      </w:r>
    </w:p>
    <w:p w:rsidR="00264683" w:rsidRPr="008F3ADE" w:rsidRDefault="00264683" w:rsidP="00264683">
      <w:pPr>
        <w:spacing w:after="120"/>
        <w:jc w:val="both"/>
        <w:rPr>
          <w:rFonts w:ascii="Tahoma" w:hAnsi="Tahoma" w:cs="Tahoma"/>
          <w:sz w:val="20"/>
          <w:szCs w:val="20"/>
        </w:rPr>
      </w:pPr>
      <w:r w:rsidRPr="008F3ADE">
        <w:rPr>
          <w:rFonts w:ascii="Tahoma" w:hAnsi="Tahoma" w:cs="Tahoma"/>
          <w:sz w:val="20"/>
          <w:szCs w:val="20"/>
        </w:rPr>
        <w:t> </w:t>
      </w:r>
    </w:p>
    <w:p w:rsidR="00264683" w:rsidRPr="008F3ADE" w:rsidRDefault="00264683" w:rsidP="00264683">
      <w:pPr>
        <w:spacing w:after="120"/>
        <w:jc w:val="both"/>
        <w:rPr>
          <w:rFonts w:ascii="Tahoma" w:hAnsi="Tahoma" w:cs="Tahoma"/>
          <w:sz w:val="20"/>
          <w:szCs w:val="20"/>
        </w:rPr>
      </w:pPr>
      <w:r w:rsidRPr="008F3ADE">
        <w:rPr>
          <w:rFonts w:ascii="Tahoma" w:hAnsi="Tahoma" w:cs="Tahoma"/>
          <w:sz w:val="20"/>
          <w:szCs w:val="20"/>
        </w:rPr>
        <w:t> </w:t>
      </w:r>
    </w:p>
    <w:p w:rsidR="00FC20F1" w:rsidRDefault="00FC20F1"/>
    <w:sectPr w:rsidR="00FC20F1" w:rsidSect="00264683">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13294"/>
    <w:multiLevelType w:val="hybridMultilevel"/>
    <w:tmpl w:val="A2DE878A"/>
    <w:lvl w:ilvl="0" w:tplc="845EA788">
      <w:numFmt w:val="bullet"/>
      <w:lvlText w:val="-"/>
      <w:lvlJc w:val="left"/>
      <w:pPr>
        <w:ind w:left="336" w:hanging="696"/>
      </w:pPr>
      <w:rPr>
        <w:rFonts w:ascii="Tahoma" w:eastAsia="Calibri" w:hAnsi="Tahoma" w:cs="Tahoma" w:hint="default"/>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83"/>
    <w:rsid w:val="000D0B65"/>
    <w:rsid w:val="00127F72"/>
    <w:rsid w:val="00264683"/>
    <w:rsid w:val="00FC20F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4E4F"/>
  <w15:chartTrackingRefBased/>
  <w15:docId w15:val="{19A582D6-1869-4239-BD59-001849F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683"/>
    <w:pPr>
      <w:spacing w:after="0" w:line="240" w:lineRule="auto"/>
    </w:pPr>
    <w:rPr>
      <w:rFonts w:ascii="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6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2107</Words>
  <Characters>12016</Characters>
  <Application>Microsoft Office Word</Application>
  <DocSecurity>0</DocSecurity>
  <Lines>100</Lines>
  <Paragraphs>28</Paragraphs>
  <ScaleCrop>false</ScaleCrop>
  <Company>Grizli777</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2021-01-12T08:55:00Z</dcterms:created>
  <dcterms:modified xsi:type="dcterms:W3CDTF">2021-01-12T08:57:00Z</dcterms:modified>
</cp:coreProperties>
</file>