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8CD9373" w14:textId="77777777" w:rsidR="00E53986" w:rsidRPr="00A91F34" w:rsidRDefault="00E53986" w:rsidP="00E53986">
      <w:pPr>
        <w:jc w:val="center"/>
        <w:rPr>
          <w:rFonts w:ascii="Times New Roman" w:eastAsia="Times New Roman" w:hAnsi="Times New Roman"/>
          <w:b/>
          <w:color w:val="000000"/>
          <w:sz w:val="24"/>
          <w:szCs w:val="24"/>
        </w:rPr>
      </w:pPr>
      <w:bookmarkStart w:id="0" w:name="_GoBack"/>
      <w:bookmarkEnd w:id="0"/>
      <w:r w:rsidRPr="00A91F34">
        <w:rPr>
          <w:rFonts w:ascii="Times New Roman" w:eastAsia="Times New Roman" w:hAnsi="Times New Roman"/>
          <w:b/>
          <w:color w:val="000000"/>
          <w:sz w:val="24"/>
          <w:szCs w:val="24"/>
        </w:rPr>
        <w:t xml:space="preserve">МОТИВИ </w:t>
      </w:r>
    </w:p>
    <w:p w14:paraId="319E841C" w14:textId="77777777" w:rsidR="00E53986" w:rsidRPr="00A91F34" w:rsidRDefault="00E53986" w:rsidP="00E53986">
      <w:pPr>
        <w:jc w:val="center"/>
        <w:rPr>
          <w:rFonts w:ascii="Times New Roman" w:eastAsia="Times New Roman" w:hAnsi="Times New Roman"/>
          <w:b/>
          <w:color w:val="000000"/>
          <w:sz w:val="24"/>
          <w:szCs w:val="24"/>
        </w:rPr>
      </w:pPr>
      <w:r w:rsidRPr="00A91F34">
        <w:rPr>
          <w:rFonts w:ascii="Times New Roman" w:eastAsia="Times New Roman" w:hAnsi="Times New Roman"/>
          <w:b/>
          <w:color w:val="000000"/>
          <w:sz w:val="24"/>
          <w:szCs w:val="24"/>
        </w:rPr>
        <w:t>Към предложенията за изменение в Кодекса за социално осигуряване, Закона за гарантираните вземанията на работниците и служителите при несъстоятелност на работодателя и Наказателния кодекс, предложени с § 6, § 7 и § 8 от ПЗР на БЗДОО</w:t>
      </w:r>
      <w:r>
        <w:rPr>
          <w:rFonts w:ascii="Times New Roman" w:eastAsia="Times New Roman" w:hAnsi="Times New Roman"/>
          <w:b/>
          <w:color w:val="000000"/>
          <w:sz w:val="24"/>
          <w:szCs w:val="24"/>
        </w:rPr>
        <w:t xml:space="preserve"> за 2021 г.</w:t>
      </w:r>
    </w:p>
    <w:p w14:paraId="2E3406E0" w14:textId="77777777" w:rsidR="002F2925" w:rsidRDefault="002F2925" w:rsidP="00E53986">
      <w:pPr>
        <w:spacing w:after="0" w:line="240" w:lineRule="auto"/>
        <w:ind w:firstLine="567"/>
        <w:jc w:val="center"/>
        <w:rPr>
          <w:rFonts w:ascii="Times New Roman" w:hAnsi="Times New Roman"/>
          <w:color w:val="000000"/>
          <w:sz w:val="24"/>
          <w:szCs w:val="24"/>
        </w:rPr>
      </w:pPr>
    </w:p>
    <w:p w14:paraId="224AE1CA" w14:textId="77777777" w:rsidR="002F2925" w:rsidRPr="003F24EC" w:rsidRDefault="002F2925" w:rsidP="00E53986">
      <w:pPr>
        <w:pStyle w:val="BodyTextIndent"/>
        <w:spacing w:after="0"/>
        <w:ind w:left="0" w:firstLine="720"/>
        <w:jc w:val="both"/>
        <w:rPr>
          <w:sz w:val="24"/>
          <w:szCs w:val="24"/>
          <w:lang w:val="bg-BG"/>
        </w:rPr>
      </w:pPr>
      <w:r w:rsidRPr="003F24EC">
        <w:rPr>
          <w:sz w:val="24"/>
          <w:szCs w:val="24"/>
          <w:lang w:val="bg-BG"/>
        </w:rPr>
        <w:t xml:space="preserve">Проектът на бюджета на държавното обществено осигуряване (ДОО) за 2021 г., е разработен в изпълнение на Решение № 64 на Министерски съвет на Република България от 31.01.2020 г. за бюджетната процедура за 2021 г., изменено с Решение № 273 на МС от 23.04.2020 г и изменено и допълнено с Решение № 447 на МС от 03.07.2020 г.; и Указания БЮ № 4/01.09.2020 г. на Министерство на финансите (МФ) за подготовката и представянето на проектобюджетите на първостепенните разпоредители с бюджет (ПРБ) за 2021 г. </w:t>
      </w:r>
    </w:p>
    <w:p w14:paraId="2DC4CFEF" w14:textId="43118FC9" w:rsidR="002F2925" w:rsidRPr="003F24EC" w:rsidRDefault="002F2925" w:rsidP="00E53986">
      <w:pPr>
        <w:pStyle w:val="BodyTextIndent"/>
        <w:spacing w:after="0"/>
        <w:ind w:left="0" w:firstLine="720"/>
        <w:jc w:val="both"/>
        <w:rPr>
          <w:sz w:val="24"/>
          <w:szCs w:val="24"/>
          <w:lang w:val="bg-BG"/>
        </w:rPr>
      </w:pPr>
      <w:r w:rsidRPr="003F24EC">
        <w:rPr>
          <w:sz w:val="24"/>
          <w:szCs w:val="24"/>
          <w:lang w:val="bg-BG"/>
        </w:rPr>
        <w:t>Проектът на бюджета на държавното обществено осигуряване (</w:t>
      </w:r>
      <w:r w:rsidR="00E53986">
        <w:rPr>
          <w:sz w:val="24"/>
          <w:szCs w:val="24"/>
          <w:lang w:val="bg-BG"/>
        </w:rPr>
        <w:t>З</w:t>
      </w:r>
      <w:r w:rsidRPr="003F24EC">
        <w:rPr>
          <w:sz w:val="24"/>
          <w:szCs w:val="24"/>
          <w:lang w:val="bg-BG"/>
        </w:rPr>
        <w:t>БДОО) за 202</w:t>
      </w:r>
      <w:r w:rsidR="00E53986">
        <w:rPr>
          <w:sz w:val="24"/>
          <w:szCs w:val="24"/>
          <w:lang w:val="bg-BG"/>
        </w:rPr>
        <w:t>1</w:t>
      </w:r>
      <w:r w:rsidRPr="003F24EC">
        <w:rPr>
          <w:sz w:val="24"/>
          <w:szCs w:val="24"/>
          <w:lang w:val="bg-BG"/>
        </w:rPr>
        <w:t xml:space="preserve"> г. е съобразен с основните допускания за периода 2020-2022 г. включени в РМС № 815/30.12.2019 г. и указания на министъра на финансите от месец октомври 2020 г. във връзка със заключителния етап на бюджетната процедура за 2021 г. </w:t>
      </w:r>
    </w:p>
    <w:p w14:paraId="7269DD96" w14:textId="794449BA" w:rsidR="002F2925" w:rsidRPr="003F24EC" w:rsidRDefault="002F2925" w:rsidP="00E53986">
      <w:pPr>
        <w:pStyle w:val="BodyTextIndent"/>
        <w:spacing w:after="0"/>
        <w:ind w:left="0" w:firstLine="720"/>
        <w:jc w:val="both"/>
        <w:rPr>
          <w:sz w:val="24"/>
          <w:szCs w:val="24"/>
          <w:lang w:val="bg-BG"/>
        </w:rPr>
      </w:pPr>
      <w:r w:rsidRPr="003F24EC">
        <w:rPr>
          <w:sz w:val="24"/>
          <w:szCs w:val="24"/>
          <w:lang w:val="bg-BG"/>
        </w:rPr>
        <w:t>Разчетите по приходната част на проекта на ЗБДОО за 202</w:t>
      </w:r>
      <w:r w:rsidR="00E53986">
        <w:rPr>
          <w:sz w:val="24"/>
          <w:szCs w:val="24"/>
          <w:lang w:val="bg-BG"/>
        </w:rPr>
        <w:t>1</w:t>
      </w:r>
      <w:r w:rsidRPr="003F24EC">
        <w:rPr>
          <w:sz w:val="24"/>
          <w:szCs w:val="24"/>
          <w:lang w:val="bg-BG"/>
        </w:rPr>
        <w:t xml:space="preserve"> г. са съгласувани с Националната агенция за приходите по отношение задължителните осигурителни вноски (включващи и тези по реда на чл. 159 от Закона за публичните финанси), както и за други приходи, събирани от НАП.</w:t>
      </w:r>
    </w:p>
    <w:p w14:paraId="57DD5EBA" w14:textId="4C2E54AF" w:rsidR="002F2925" w:rsidRDefault="002F2925" w:rsidP="00E53986">
      <w:pPr>
        <w:spacing w:after="0" w:line="240" w:lineRule="auto"/>
        <w:ind w:firstLine="567"/>
        <w:jc w:val="both"/>
        <w:rPr>
          <w:rFonts w:ascii="Times New Roman" w:hAnsi="Times New Roman"/>
          <w:color w:val="000000"/>
          <w:sz w:val="24"/>
          <w:szCs w:val="24"/>
        </w:rPr>
      </w:pPr>
      <w:r w:rsidRPr="002F2925">
        <w:rPr>
          <w:rFonts w:ascii="Times New Roman" w:hAnsi="Times New Roman"/>
          <w:color w:val="000000"/>
          <w:sz w:val="24"/>
          <w:szCs w:val="24"/>
        </w:rPr>
        <w:t xml:space="preserve">В проекта на </w:t>
      </w:r>
      <w:r>
        <w:rPr>
          <w:rFonts w:ascii="Times New Roman" w:hAnsi="Times New Roman"/>
          <w:color w:val="000000"/>
          <w:sz w:val="24"/>
          <w:szCs w:val="24"/>
        </w:rPr>
        <w:t>З</w:t>
      </w:r>
      <w:r w:rsidRPr="002F2925">
        <w:rPr>
          <w:rFonts w:ascii="Times New Roman" w:hAnsi="Times New Roman"/>
          <w:color w:val="000000"/>
          <w:sz w:val="24"/>
          <w:szCs w:val="24"/>
        </w:rPr>
        <w:t>БДОО за 202</w:t>
      </w:r>
      <w:r>
        <w:rPr>
          <w:rFonts w:ascii="Times New Roman" w:hAnsi="Times New Roman"/>
          <w:color w:val="000000"/>
          <w:sz w:val="24"/>
          <w:szCs w:val="24"/>
        </w:rPr>
        <w:t>1</w:t>
      </w:r>
      <w:r w:rsidRPr="002F2925">
        <w:rPr>
          <w:rFonts w:ascii="Times New Roman" w:hAnsi="Times New Roman"/>
          <w:color w:val="000000"/>
          <w:sz w:val="24"/>
          <w:szCs w:val="24"/>
        </w:rPr>
        <w:t xml:space="preserve"> г. са заложени следните политики по приходите:</w:t>
      </w:r>
    </w:p>
    <w:p w14:paraId="2E8310F2" w14:textId="77777777" w:rsidR="002F2925" w:rsidRPr="002F2925" w:rsidRDefault="002F2925" w:rsidP="00E53986">
      <w:pPr>
        <w:pStyle w:val="BodyTextIndent"/>
        <w:numPr>
          <w:ilvl w:val="0"/>
          <w:numId w:val="1"/>
        </w:numPr>
        <w:spacing w:after="0"/>
        <w:jc w:val="both"/>
        <w:rPr>
          <w:sz w:val="24"/>
          <w:szCs w:val="24"/>
          <w:lang w:val="bg-BG"/>
        </w:rPr>
      </w:pPr>
      <w:r w:rsidRPr="002F2925">
        <w:rPr>
          <w:sz w:val="24"/>
          <w:szCs w:val="24"/>
          <w:lang w:val="bg-BG"/>
        </w:rPr>
        <w:t>Запазва се размерът на осигурителната вноска за фонд „Пенсии” и фонд „Пенсии за лицата по чл. 69” на ДОО на нивото от 2020 г. Запазват се и размерите на осигурителните вноски за другите фондове на ДОО, а също и съотношенията между осигурителите и осигурените лица;</w:t>
      </w:r>
    </w:p>
    <w:p w14:paraId="752DDC97" w14:textId="77777777" w:rsidR="002F2925" w:rsidRPr="002F2925" w:rsidRDefault="002F2925" w:rsidP="00E53986">
      <w:pPr>
        <w:numPr>
          <w:ilvl w:val="0"/>
          <w:numId w:val="1"/>
        </w:numPr>
        <w:spacing w:after="0" w:line="240" w:lineRule="auto"/>
        <w:jc w:val="both"/>
        <w:rPr>
          <w:rFonts w:ascii="Times New Roman" w:hAnsi="Times New Roman"/>
          <w:sz w:val="24"/>
          <w:szCs w:val="24"/>
        </w:rPr>
      </w:pPr>
      <w:r w:rsidRPr="002F2925">
        <w:rPr>
          <w:rFonts w:ascii="Times New Roman" w:hAnsi="Times New Roman"/>
          <w:sz w:val="24"/>
          <w:szCs w:val="24"/>
        </w:rPr>
        <w:t>За 20</w:t>
      </w:r>
      <w:r w:rsidRPr="002F2925">
        <w:rPr>
          <w:rFonts w:ascii="Times New Roman" w:hAnsi="Times New Roman"/>
          <w:sz w:val="24"/>
          <w:szCs w:val="24"/>
          <w:lang w:val="en-US"/>
        </w:rPr>
        <w:t>21</w:t>
      </w:r>
      <w:r w:rsidRPr="002F2925">
        <w:rPr>
          <w:rFonts w:ascii="Times New Roman" w:hAnsi="Times New Roman"/>
          <w:sz w:val="24"/>
          <w:szCs w:val="24"/>
        </w:rPr>
        <w:t xml:space="preserve"> г. не са договорени минимални осигурителни доходи </w:t>
      </w:r>
      <w:r w:rsidRPr="002F2925">
        <w:rPr>
          <w:rFonts w:ascii="Times New Roman" w:hAnsi="Times New Roman"/>
          <w:sz w:val="24"/>
          <w:szCs w:val="24"/>
          <w:lang w:val="ru-RU"/>
        </w:rPr>
        <w:t>(</w:t>
      </w:r>
      <w:r w:rsidRPr="002F2925">
        <w:rPr>
          <w:rFonts w:ascii="Times New Roman" w:hAnsi="Times New Roman"/>
          <w:sz w:val="24"/>
          <w:szCs w:val="24"/>
        </w:rPr>
        <w:t>МОД</w:t>
      </w:r>
      <w:r w:rsidRPr="002F2925">
        <w:rPr>
          <w:rFonts w:ascii="Times New Roman" w:hAnsi="Times New Roman"/>
          <w:sz w:val="24"/>
          <w:szCs w:val="24"/>
          <w:lang w:val="ru-RU"/>
        </w:rPr>
        <w:t>) по икономически дейности и квалификационни групи професии</w:t>
      </w:r>
      <w:r w:rsidRPr="002F2925">
        <w:rPr>
          <w:rFonts w:ascii="Times New Roman" w:hAnsi="Times New Roman"/>
          <w:sz w:val="24"/>
          <w:szCs w:val="24"/>
        </w:rPr>
        <w:t>. Без налагане на административно увеличение на МОД и при планирано увеличение на минималната работна заплата с 6,6 на сто от 610 лв. на 650 лв., средното увеличение на МОД през 20</w:t>
      </w:r>
      <w:r w:rsidRPr="002F2925">
        <w:rPr>
          <w:rFonts w:ascii="Times New Roman" w:hAnsi="Times New Roman"/>
          <w:sz w:val="24"/>
          <w:szCs w:val="24"/>
          <w:lang w:val="en-US"/>
        </w:rPr>
        <w:t>2</w:t>
      </w:r>
      <w:r w:rsidRPr="002F2925">
        <w:rPr>
          <w:rFonts w:ascii="Times New Roman" w:hAnsi="Times New Roman"/>
          <w:sz w:val="24"/>
          <w:szCs w:val="24"/>
        </w:rPr>
        <w:t>1 г. се очаква да бъде с около 4,5 на сто;</w:t>
      </w:r>
    </w:p>
    <w:p w14:paraId="7B749466" w14:textId="77777777" w:rsidR="002F2925" w:rsidRPr="002F2925" w:rsidRDefault="002F2925" w:rsidP="00E53986">
      <w:pPr>
        <w:pStyle w:val="BodyTextIndent"/>
        <w:numPr>
          <w:ilvl w:val="0"/>
          <w:numId w:val="1"/>
        </w:numPr>
        <w:spacing w:after="0"/>
        <w:jc w:val="both"/>
        <w:rPr>
          <w:noProof/>
          <w:sz w:val="24"/>
          <w:szCs w:val="24"/>
          <w:lang w:val="bg-BG"/>
        </w:rPr>
      </w:pPr>
      <w:r w:rsidRPr="002F2925">
        <w:rPr>
          <w:sz w:val="24"/>
          <w:szCs w:val="24"/>
          <w:lang w:val="bg-BG"/>
        </w:rPr>
        <w:t xml:space="preserve">Увеличава минималният осигурителен доход </w:t>
      </w:r>
      <w:r w:rsidRPr="002F2925">
        <w:rPr>
          <w:noProof/>
          <w:sz w:val="24"/>
          <w:szCs w:val="24"/>
          <w:lang w:val="bg-BG"/>
        </w:rPr>
        <w:t xml:space="preserve">за самоосигуряващите се лица от 610 лв. на 650 </w:t>
      </w:r>
      <w:r w:rsidRPr="002F2925">
        <w:rPr>
          <w:bCs/>
          <w:noProof/>
          <w:sz w:val="24"/>
          <w:szCs w:val="24"/>
          <w:lang w:val="bg-BG"/>
        </w:rPr>
        <w:t>лв.</w:t>
      </w:r>
      <w:r w:rsidRPr="002F2925">
        <w:rPr>
          <w:bCs/>
          <w:noProof/>
          <w:sz w:val="26"/>
          <w:szCs w:val="24"/>
          <w:lang w:val="bg-BG"/>
        </w:rPr>
        <w:t>;</w:t>
      </w:r>
    </w:p>
    <w:p w14:paraId="426DFD86" w14:textId="77777777" w:rsidR="002F2925" w:rsidRPr="002F2925" w:rsidRDefault="002F2925" w:rsidP="00E53986">
      <w:pPr>
        <w:numPr>
          <w:ilvl w:val="0"/>
          <w:numId w:val="1"/>
        </w:numPr>
        <w:spacing w:after="0" w:line="240" w:lineRule="auto"/>
        <w:ind w:left="1497"/>
        <w:jc w:val="both"/>
        <w:rPr>
          <w:rFonts w:ascii="Times New Roman" w:hAnsi="Times New Roman"/>
          <w:noProof/>
          <w:sz w:val="24"/>
          <w:szCs w:val="24"/>
        </w:rPr>
      </w:pPr>
      <w:r w:rsidRPr="002F2925">
        <w:rPr>
          <w:rFonts w:ascii="Times New Roman" w:hAnsi="Times New Roman"/>
          <w:noProof/>
          <w:sz w:val="24"/>
          <w:szCs w:val="24"/>
        </w:rPr>
        <w:t>Запазва се минималният осигурителен доход за регистрираните земеделски стопани и тютюнопроизводители – 420 лв.;</w:t>
      </w:r>
    </w:p>
    <w:p w14:paraId="10A3C9E3" w14:textId="77777777" w:rsidR="002F2925" w:rsidRPr="002F2925" w:rsidRDefault="002F2925" w:rsidP="00E53986">
      <w:pPr>
        <w:numPr>
          <w:ilvl w:val="0"/>
          <w:numId w:val="1"/>
        </w:numPr>
        <w:spacing w:after="0" w:line="240" w:lineRule="auto"/>
        <w:ind w:left="1497"/>
        <w:jc w:val="both"/>
        <w:rPr>
          <w:rFonts w:ascii="Times New Roman" w:hAnsi="Times New Roman"/>
          <w:noProof/>
          <w:sz w:val="24"/>
          <w:szCs w:val="24"/>
        </w:rPr>
      </w:pPr>
      <w:r w:rsidRPr="002F2925">
        <w:rPr>
          <w:rFonts w:ascii="Times New Roman" w:hAnsi="Times New Roman"/>
          <w:noProof/>
          <w:sz w:val="24"/>
          <w:szCs w:val="24"/>
        </w:rPr>
        <w:t xml:space="preserve">Запазва се максималният осигурителен доход за всички осигурени лица </w:t>
      </w:r>
      <w:r w:rsidRPr="002F2925">
        <w:rPr>
          <w:rFonts w:ascii="Times New Roman" w:hAnsi="Times New Roman"/>
          <w:bCs/>
          <w:noProof/>
          <w:sz w:val="24"/>
          <w:szCs w:val="24"/>
        </w:rPr>
        <w:t xml:space="preserve"> на 3 000 лв.</w:t>
      </w:r>
      <w:r w:rsidRPr="002F2925">
        <w:rPr>
          <w:rFonts w:ascii="Times New Roman" w:hAnsi="Times New Roman"/>
          <w:noProof/>
          <w:sz w:val="24"/>
          <w:szCs w:val="24"/>
        </w:rPr>
        <w:t>;</w:t>
      </w:r>
    </w:p>
    <w:p w14:paraId="7684B286" w14:textId="77777777" w:rsidR="002F2925" w:rsidRPr="002F2925" w:rsidRDefault="002F2925" w:rsidP="00E53986">
      <w:pPr>
        <w:numPr>
          <w:ilvl w:val="0"/>
          <w:numId w:val="1"/>
        </w:numPr>
        <w:spacing w:after="0" w:line="240" w:lineRule="auto"/>
        <w:ind w:left="1497"/>
        <w:jc w:val="both"/>
        <w:rPr>
          <w:rFonts w:ascii="Times New Roman" w:hAnsi="Times New Roman"/>
          <w:noProof/>
          <w:sz w:val="24"/>
          <w:szCs w:val="24"/>
        </w:rPr>
      </w:pPr>
      <w:r w:rsidRPr="002F2925">
        <w:rPr>
          <w:rFonts w:ascii="Times New Roman" w:hAnsi="Times New Roman"/>
          <w:noProof/>
          <w:sz w:val="24"/>
          <w:szCs w:val="24"/>
        </w:rPr>
        <w:t xml:space="preserve">За 2021 г. не се внасят вноски за фонд „Гарантирани вземания на работниците и служителите”, като </w:t>
      </w:r>
      <w:r w:rsidRPr="002F2925">
        <w:rPr>
          <w:rFonts w:ascii="Times New Roman" w:hAnsi="Times New Roman"/>
          <w:noProof/>
          <w:sz w:val="24"/>
        </w:rPr>
        <w:t>се запазва разпоредбата на чл.22, ал.2 от ЗГВРСНР относно максималния месечен размер на гарантираното вземане, който не може да бъде по-малък от 2,5 минимални работни заплати</w:t>
      </w:r>
      <w:r w:rsidRPr="002F2925">
        <w:rPr>
          <w:rFonts w:ascii="Times New Roman" w:hAnsi="Times New Roman"/>
          <w:noProof/>
          <w:sz w:val="24"/>
          <w:szCs w:val="24"/>
        </w:rPr>
        <w:t xml:space="preserve">; </w:t>
      </w:r>
    </w:p>
    <w:p w14:paraId="5BC1AD33" w14:textId="77777777" w:rsidR="002F2925" w:rsidRPr="002F2925" w:rsidRDefault="002F2925" w:rsidP="00E53986">
      <w:pPr>
        <w:numPr>
          <w:ilvl w:val="0"/>
          <w:numId w:val="1"/>
        </w:numPr>
        <w:spacing w:after="0" w:line="240" w:lineRule="auto"/>
        <w:ind w:left="1497"/>
        <w:jc w:val="both"/>
        <w:rPr>
          <w:rFonts w:ascii="Times New Roman" w:hAnsi="Times New Roman"/>
          <w:sz w:val="24"/>
          <w:szCs w:val="24"/>
        </w:rPr>
      </w:pPr>
      <w:r w:rsidRPr="002F2925">
        <w:rPr>
          <w:rFonts w:ascii="Times New Roman" w:hAnsi="Times New Roman"/>
          <w:noProof/>
          <w:sz w:val="24"/>
          <w:szCs w:val="24"/>
        </w:rPr>
        <w:t>Определят се за приход в бюджета на НОИ 90 000 лв. от приходите</w:t>
      </w:r>
      <w:r w:rsidRPr="002F2925">
        <w:rPr>
          <w:rFonts w:ascii="Times New Roman" w:hAnsi="Times New Roman"/>
          <w:sz w:val="24"/>
          <w:szCs w:val="24"/>
        </w:rPr>
        <w:t xml:space="preserve"> на фонд „Гарантирани вземания на работниците и служителите” – за дейностите по чл. 13 от ЗГВРСНР.</w:t>
      </w:r>
    </w:p>
    <w:p w14:paraId="578A1C97" w14:textId="2BF614EF" w:rsidR="002F2925" w:rsidRDefault="002F2925" w:rsidP="00E53986">
      <w:pPr>
        <w:spacing w:after="0" w:line="240" w:lineRule="auto"/>
        <w:jc w:val="both"/>
        <w:rPr>
          <w:rFonts w:ascii="Times New Roman" w:hAnsi="Times New Roman"/>
          <w:color w:val="000000"/>
          <w:sz w:val="24"/>
          <w:szCs w:val="24"/>
        </w:rPr>
      </w:pPr>
    </w:p>
    <w:p w14:paraId="52997AF6" w14:textId="77777777" w:rsidR="002F2925" w:rsidRPr="002F2925" w:rsidRDefault="002F2925" w:rsidP="00E53986">
      <w:pPr>
        <w:spacing w:after="0" w:line="240" w:lineRule="auto"/>
        <w:ind w:firstLine="567"/>
        <w:jc w:val="both"/>
        <w:rPr>
          <w:rFonts w:ascii="Times New Roman" w:hAnsi="Times New Roman"/>
          <w:color w:val="000000"/>
          <w:sz w:val="24"/>
          <w:szCs w:val="24"/>
        </w:rPr>
      </w:pPr>
      <w:r w:rsidRPr="002F2925">
        <w:rPr>
          <w:rFonts w:ascii="Times New Roman" w:hAnsi="Times New Roman"/>
          <w:color w:val="000000"/>
          <w:sz w:val="24"/>
          <w:szCs w:val="24"/>
        </w:rPr>
        <w:t>В проекта са заложени следните политики по разходите:</w:t>
      </w:r>
    </w:p>
    <w:p w14:paraId="1A8DF26A" w14:textId="36D8C51A" w:rsidR="002F2925" w:rsidRDefault="002F2925" w:rsidP="00E53986">
      <w:pPr>
        <w:spacing w:after="0" w:line="240" w:lineRule="auto"/>
        <w:jc w:val="both"/>
        <w:rPr>
          <w:rFonts w:ascii="Times New Roman" w:hAnsi="Times New Roman"/>
          <w:color w:val="000000"/>
          <w:sz w:val="24"/>
          <w:szCs w:val="24"/>
        </w:rPr>
      </w:pPr>
    </w:p>
    <w:p w14:paraId="0013FEBD" w14:textId="77777777" w:rsidR="002F2925" w:rsidRPr="002F2925" w:rsidRDefault="002F2925" w:rsidP="00E53986">
      <w:pPr>
        <w:pStyle w:val="BodyText3"/>
        <w:numPr>
          <w:ilvl w:val="0"/>
          <w:numId w:val="1"/>
        </w:numPr>
        <w:spacing w:after="0"/>
        <w:jc w:val="both"/>
        <w:rPr>
          <w:sz w:val="23"/>
          <w:szCs w:val="23"/>
          <w:lang w:val="bg-BG" w:eastAsia="bg-BG"/>
        </w:rPr>
      </w:pPr>
      <w:r w:rsidRPr="002F2925">
        <w:rPr>
          <w:sz w:val="24"/>
          <w:szCs w:val="24"/>
          <w:lang w:val="bg-BG"/>
        </w:rPr>
        <w:t>Повишават се изискуемите възраст и осигурителен стаж при пенсиониране за работещите при условията на трета категория труд и минималната възраст за пенсиониране на лицата по чл.69, чл. 69а и чл. 69б от КСО</w:t>
      </w:r>
      <w:r w:rsidRPr="002F2925">
        <w:rPr>
          <w:bCs/>
          <w:sz w:val="24"/>
          <w:szCs w:val="24"/>
          <w:lang w:val="bg-BG"/>
        </w:rPr>
        <w:t>;</w:t>
      </w:r>
    </w:p>
    <w:p w14:paraId="1A205BCC" w14:textId="77777777" w:rsidR="002F2925" w:rsidRPr="002F2925" w:rsidRDefault="002F2925" w:rsidP="00E53986">
      <w:pPr>
        <w:pStyle w:val="BodyText3"/>
        <w:numPr>
          <w:ilvl w:val="0"/>
          <w:numId w:val="1"/>
        </w:numPr>
        <w:spacing w:after="0"/>
        <w:jc w:val="both"/>
        <w:rPr>
          <w:sz w:val="23"/>
          <w:szCs w:val="23"/>
          <w:lang w:val="bg-BG" w:eastAsia="bg-BG"/>
        </w:rPr>
      </w:pPr>
      <w:r w:rsidRPr="002F2925">
        <w:rPr>
          <w:sz w:val="24"/>
          <w:szCs w:val="24"/>
          <w:lang w:val="bg-BG"/>
        </w:rPr>
        <w:t>Процентът за всяка година осигурителен стаж в пенсионната формула се запазва на достигнатото през 2019 г. ниво от 1,2 на сто;</w:t>
      </w:r>
    </w:p>
    <w:p w14:paraId="666E715B" w14:textId="3D5BF1FD" w:rsidR="002F2925" w:rsidRPr="002F2925" w:rsidRDefault="002F2925" w:rsidP="00E53986">
      <w:pPr>
        <w:pStyle w:val="BodyText3"/>
        <w:numPr>
          <w:ilvl w:val="0"/>
          <w:numId w:val="1"/>
        </w:numPr>
        <w:spacing w:after="0"/>
        <w:jc w:val="both"/>
        <w:rPr>
          <w:sz w:val="23"/>
          <w:szCs w:val="23"/>
          <w:lang w:val="bg-BG" w:eastAsia="bg-BG"/>
        </w:rPr>
      </w:pPr>
      <w:r w:rsidRPr="002F2925">
        <w:rPr>
          <w:sz w:val="24"/>
          <w:szCs w:val="24"/>
          <w:lang w:val="bg-BG"/>
        </w:rPr>
        <w:t xml:space="preserve">От 1 януари 2021 г. минималният размер на пенсията за осигурителен стаж и възраст се увеличава от 250,00 лв. на 300,00 лв. месечно </w:t>
      </w:r>
      <w:r w:rsidRPr="002F2925">
        <w:rPr>
          <w:sz w:val="24"/>
          <w:szCs w:val="24"/>
          <w:lang w:val="en-US"/>
        </w:rPr>
        <w:t>(</w:t>
      </w:r>
      <w:r w:rsidRPr="002F2925">
        <w:rPr>
          <w:sz w:val="24"/>
          <w:szCs w:val="24"/>
          <w:lang w:val="bg-BG"/>
        </w:rPr>
        <w:t>увеличение с 20 на сто</w:t>
      </w:r>
      <w:r w:rsidRPr="002F2925">
        <w:rPr>
          <w:sz w:val="24"/>
          <w:szCs w:val="24"/>
          <w:lang w:val="en-US"/>
        </w:rPr>
        <w:t>)</w:t>
      </w:r>
      <w:r w:rsidRPr="002F2925">
        <w:rPr>
          <w:sz w:val="24"/>
          <w:szCs w:val="24"/>
          <w:lang w:val="bg-BG"/>
        </w:rPr>
        <w:t xml:space="preserve">. </w:t>
      </w:r>
    </w:p>
    <w:p w14:paraId="35FFAC29" w14:textId="77777777" w:rsidR="002F2925" w:rsidRPr="002F2925" w:rsidRDefault="002F2925" w:rsidP="00E53986">
      <w:pPr>
        <w:pStyle w:val="BodyText3"/>
        <w:numPr>
          <w:ilvl w:val="0"/>
          <w:numId w:val="1"/>
        </w:numPr>
        <w:spacing w:after="0"/>
        <w:jc w:val="both"/>
        <w:rPr>
          <w:sz w:val="24"/>
          <w:szCs w:val="24"/>
          <w:lang w:val="bg-BG"/>
        </w:rPr>
      </w:pPr>
      <w:bookmarkStart w:id="1" w:name="_Hlk53496177"/>
      <w:r w:rsidRPr="002F2925">
        <w:rPr>
          <w:sz w:val="24"/>
          <w:szCs w:val="24"/>
          <w:lang w:val="bg-BG"/>
        </w:rPr>
        <w:t>От 1 януари 2021 г. максималният размер на получаваните една или повече пенсии се увеличава от 1 200,00 лв</w:t>
      </w:r>
      <w:bookmarkStart w:id="2" w:name="_Hlk52872684"/>
      <w:r w:rsidRPr="002F2925">
        <w:rPr>
          <w:sz w:val="24"/>
          <w:szCs w:val="24"/>
          <w:lang w:val="bg-BG"/>
        </w:rPr>
        <w:t xml:space="preserve">. </w:t>
      </w:r>
      <w:bookmarkEnd w:id="2"/>
      <w:r w:rsidRPr="002F2925">
        <w:rPr>
          <w:sz w:val="24"/>
          <w:szCs w:val="24"/>
          <w:lang w:val="ru-RU"/>
        </w:rPr>
        <w:t xml:space="preserve">на 1440,00 лв. </w:t>
      </w:r>
      <w:r w:rsidRPr="002F2925">
        <w:rPr>
          <w:sz w:val="24"/>
          <w:szCs w:val="24"/>
          <w:lang w:val="bg-BG"/>
        </w:rPr>
        <w:t xml:space="preserve">(увеличение с 20 на сто);  </w:t>
      </w:r>
    </w:p>
    <w:p w14:paraId="2C7C6B13" w14:textId="77777777" w:rsidR="002F2925" w:rsidRPr="002F2925" w:rsidRDefault="002F2925" w:rsidP="00E53986">
      <w:pPr>
        <w:pStyle w:val="BodyText3"/>
        <w:numPr>
          <w:ilvl w:val="0"/>
          <w:numId w:val="1"/>
        </w:numPr>
        <w:spacing w:after="0"/>
        <w:jc w:val="both"/>
        <w:rPr>
          <w:sz w:val="24"/>
          <w:szCs w:val="24"/>
          <w:lang w:val="bg-BG"/>
        </w:rPr>
      </w:pPr>
      <w:r w:rsidRPr="002F2925">
        <w:rPr>
          <w:sz w:val="24"/>
          <w:szCs w:val="24"/>
          <w:lang w:val="bg-BG"/>
        </w:rPr>
        <w:t>От 1 юли 2021 г. пенсиите за трудова дейност, отпуснати до 31 декември 2020 г., се осъвременяват с 5% (процент, определен по чл. 100 от КСО);</w:t>
      </w:r>
    </w:p>
    <w:p w14:paraId="3C248B00" w14:textId="77777777" w:rsidR="002F2925" w:rsidRPr="002F2925" w:rsidRDefault="002F2925" w:rsidP="00E53986">
      <w:pPr>
        <w:pStyle w:val="BodyText3"/>
        <w:numPr>
          <w:ilvl w:val="0"/>
          <w:numId w:val="1"/>
        </w:numPr>
        <w:spacing w:after="0"/>
        <w:jc w:val="both"/>
        <w:rPr>
          <w:sz w:val="24"/>
          <w:szCs w:val="24"/>
          <w:lang w:val="bg-BG"/>
        </w:rPr>
      </w:pPr>
      <w:bookmarkStart w:id="3" w:name="_Hlk53666394"/>
      <w:r w:rsidRPr="002F2925">
        <w:rPr>
          <w:sz w:val="24"/>
          <w:szCs w:val="24"/>
          <w:lang w:val="bg-BG"/>
        </w:rPr>
        <w:t>През първите три месеца на 2021 г. е предвидено да продължи изплащането на допълнителни суми към пенсиите на всички пенсионери в размер на 50 лв.;</w:t>
      </w:r>
    </w:p>
    <w:bookmarkEnd w:id="1"/>
    <w:bookmarkEnd w:id="3"/>
    <w:p w14:paraId="60F54355" w14:textId="77777777" w:rsidR="002F2925" w:rsidRPr="002F2925" w:rsidRDefault="002F2925" w:rsidP="00E53986">
      <w:pPr>
        <w:pStyle w:val="ListParagraph"/>
        <w:numPr>
          <w:ilvl w:val="0"/>
          <w:numId w:val="1"/>
        </w:numPr>
        <w:contextualSpacing w:val="0"/>
        <w:jc w:val="both"/>
        <w:rPr>
          <w:sz w:val="24"/>
          <w:szCs w:val="24"/>
          <w:lang w:val="bg-BG"/>
        </w:rPr>
      </w:pPr>
      <w:r w:rsidRPr="002F2925">
        <w:rPr>
          <w:sz w:val="24"/>
          <w:szCs w:val="24"/>
          <w:lang w:val="bg-BG"/>
        </w:rPr>
        <w:t xml:space="preserve">Увеличава се минималният дневен размер на обезщетението за    безработица  на 12,00 лв., а максималният дневен размер се запазва в размер на 74,29 лв.; </w:t>
      </w:r>
    </w:p>
    <w:p w14:paraId="3C2506E5" w14:textId="77777777" w:rsidR="002F2925" w:rsidRPr="002F2925" w:rsidRDefault="002F2925" w:rsidP="00E53986">
      <w:pPr>
        <w:numPr>
          <w:ilvl w:val="0"/>
          <w:numId w:val="1"/>
        </w:numPr>
        <w:spacing w:after="0" w:line="240" w:lineRule="auto"/>
        <w:jc w:val="both"/>
        <w:rPr>
          <w:rFonts w:ascii="Times New Roman" w:hAnsi="Times New Roman"/>
          <w:sz w:val="24"/>
          <w:szCs w:val="24"/>
        </w:rPr>
      </w:pPr>
      <w:r w:rsidRPr="002F2925">
        <w:rPr>
          <w:rFonts w:ascii="Times New Roman" w:hAnsi="Times New Roman"/>
          <w:sz w:val="24"/>
          <w:szCs w:val="24"/>
        </w:rPr>
        <w:t xml:space="preserve">Запазва се периодът на изплащане на паричното обезщетение за бременност и раждане – 410 дни и размерът на обезщетението за отглеждане на дете до двегодишна възраст – 380 лв.; </w:t>
      </w:r>
    </w:p>
    <w:p w14:paraId="7386520F" w14:textId="77777777" w:rsidR="002F2925" w:rsidRPr="002F2925" w:rsidRDefault="002F2925" w:rsidP="00E53986">
      <w:pPr>
        <w:numPr>
          <w:ilvl w:val="0"/>
          <w:numId w:val="1"/>
        </w:numPr>
        <w:spacing w:after="0" w:line="240" w:lineRule="auto"/>
        <w:jc w:val="both"/>
        <w:rPr>
          <w:rFonts w:ascii="Times New Roman" w:hAnsi="Times New Roman"/>
          <w:sz w:val="24"/>
          <w:szCs w:val="24"/>
          <w:lang w:eastAsia="bg-BG"/>
        </w:rPr>
      </w:pPr>
      <w:r w:rsidRPr="002F2925">
        <w:rPr>
          <w:rFonts w:ascii="Times New Roman" w:hAnsi="Times New Roman"/>
          <w:sz w:val="24"/>
          <w:szCs w:val="24"/>
          <w:lang w:eastAsia="bg-BG"/>
        </w:rPr>
        <w:t xml:space="preserve">И през 2021 г. продължава да действа въведената през 2017 г. възможност за майките (осиновителките), които имат право да ползват отпуска при бременност и раждане до навършване на едногодишна възраст на детето, но не го използват, да се върнат на работа и да получават обезщетение от ДОО в размер 50 на сто от полагащото им се обезщетение при бременност и раждане; </w:t>
      </w:r>
    </w:p>
    <w:p w14:paraId="0307059C" w14:textId="77777777" w:rsidR="002F2925" w:rsidRPr="002F2925" w:rsidRDefault="002F2925" w:rsidP="00E53986">
      <w:pPr>
        <w:numPr>
          <w:ilvl w:val="0"/>
          <w:numId w:val="1"/>
        </w:numPr>
        <w:spacing w:after="0" w:line="240" w:lineRule="auto"/>
        <w:jc w:val="both"/>
        <w:rPr>
          <w:rFonts w:ascii="Times New Roman" w:hAnsi="Times New Roman"/>
          <w:sz w:val="24"/>
          <w:szCs w:val="24"/>
        </w:rPr>
      </w:pPr>
      <w:r w:rsidRPr="002F2925">
        <w:rPr>
          <w:rFonts w:ascii="Times New Roman" w:hAnsi="Times New Roman"/>
          <w:sz w:val="24"/>
          <w:szCs w:val="24"/>
        </w:rPr>
        <w:t>Запазва се режимът на изплащане на паричните обезщетения за временна неработоспособност съгласно чл. 40, ал.5 на КСО – първите три работни дни от временната неработоспособност се изплащат от осигурителя, а от 4-тия ден на настъпване на неработоспособността - от ДОО;</w:t>
      </w:r>
    </w:p>
    <w:p w14:paraId="3F6EE466" w14:textId="77777777" w:rsidR="002F2925" w:rsidRPr="002F2925" w:rsidRDefault="002F2925" w:rsidP="00E53986">
      <w:pPr>
        <w:numPr>
          <w:ilvl w:val="0"/>
          <w:numId w:val="1"/>
        </w:numPr>
        <w:spacing w:after="0" w:line="240" w:lineRule="auto"/>
        <w:jc w:val="both"/>
        <w:rPr>
          <w:rFonts w:ascii="Times New Roman" w:hAnsi="Times New Roman"/>
          <w:sz w:val="24"/>
          <w:szCs w:val="24"/>
        </w:rPr>
      </w:pPr>
      <w:r w:rsidRPr="002F2925">
        <w:rPr>
          <w:rFonts w:ascii="Times New Roman" w:hAnsi="Times New Roman"/>
          <w:sz w:val="24"/>
          <w:szCs w:val="24"/>
        </w:rPr>
        <w:t>Запазва се периодът, доходът за който се взема предвид при изчисляване размерите на краткосрочните обезщетения при временна неработоспособност – 18 календарни месеца, бременност и раждане и безработица – 24 месеца;</w:t>
      </w:r>
    </w:p>
    <w:p w14:paraId="4CA24218" w14:textId="77777777" w:rsidR="002F2925" w:rsidRPr="002F2925" w:rsidRDefault="002F2925" w:rsidP="00E53986">
      <w:pPr>
        <w:numPr>
          <w:ilvl w:val="0"/>
          <w:numId w:val="1"/>
        </w:numPr>
        <w:spacing w:after="0" w:line="240" w:lineRule="auto"/>
        <w:jc w:val="both"/>
        <w:rPr>
          <w:rFonts w:ascii="Times New Roman" w:hAnsi="Times New Roman"/>
          <w:sz w:val="24"/>
          <w:szCs w:val="24"/>
        </w:rPr>
      </w:pPr>
      <w:r w:rsidRPr="002F2925">
        <w:rPr>
          <w:rFonts w:ascii="Times New Roman" w:hAnsi="Times New Roman"/>
          <w:sz w:val="24"/>
          <w:szCs w:val="24"/>
        </w:rPr>
        <w:t>Запазва се размерът на еднократната помощ при смърт на осигурено лице – 540 лв.;</w:t>
      </w:r>
    </w:p>
    <w:p w14:paraId="350E4904" w14:textId="6792B144" w:rsidR="002F2925" w:rsidRPr="002F2925" w:rsidRDefault="002F2925" w:rsidP="00E53986">
      <w:pPr>
        <w:numPr>
          <w:ilvl w:val="0"/>
          <w:numId w:val="1"/>
        </w:numPr>
        <w:spacing w:after="0" w:line="240" w:lineRule="auto"/>
        <w:jc w:val="both"/>
        <w:rPr>
          <w:rFonts w:ascii="Times New Roman" w:hAnsi="Times New Roman"/>
          <w:sz w:val="24"/>
          <w:szCs w:val="24"/>
        </w:rPr>
      </w:pPr>
      <w:r w:rsidRPr="002F2925">
        <w:rPr>
          <w:rFonts w:ascii="Times New Roman" w:hAnsi="Times New Roman"/>
          <w:sz w:val="24"/>
          <w:szCs w:val="24"/>
        </w:rPr>
        <w:t>Определя се максимален размер на гарантираните вземания</w:t>
      </w:r>
      <w:r>
        <w:rPr>
          <w:rFonts w:ascii="Times New Roman" w:hAnsi="Times New Roman"/>
          <w:sz w:val="24"/>
          <w:szCs w:val="24"/>
        </w:rPr>
        <w:t>, изплащани от фонд „Гарантирани вземания на работниците и служителите“</w:t>
      </w:r>
      <w:r w:rsidRPr="002F2925">
        <w:rPr>
          <w:rFonts w:ascii="Times New Roman" w:hAnsi="Times New Roman"/>
          <w:sz w:val="24"/>
          <w:szCs w:val="24"/>
        </w:rPr>
        <w:t xml:space="preserve"> – 1 625 лв.</w:t>
      </w:r>
    </w:p>
    <w:p w14:paraId="4E3ECAFF" w14:textId="59FE6909" w:rsidR="002F2925" w:rsidRDefault="002F2925" w:rsidP="00E53986">
      <w:pPr>
        <w:spacing w:after="0" w:line="240" w:lineRule="auto"/>
        <w:jc w:val="both"/>
        <w:rPr>
          <w:sz w:val="24"/>
          <w:szCs w:val="24"/>
        </w:rPr>
      </w:pPr>
    </w:p>
    <w:p w14:paraId="051D640C" w14:textId="7BA81CCD" w:rsidR="002F2925" w:rsidRPr="002F2925" w:rsidRDefault="002F2925" w:rsidP="00E53986">
      <w:pPr>
        <w:pStyle w:val="BodyText2"/>
        <w:spacing w:after="0" w:line="240" w:lineRule="auto"/>
        <w:ind w:firstLine="709"/>
        <w:jc w:val="both"/>
        <w:rPr>
          <w:rFonts w:ascii="Times New Roman" w:hAnsi="Times New Roman"/>
          <w:b/>
          <w:bCs/>
          <w:sz w:val="24"/>
          <w:szCs w:val="24"/>
        </w:rPr>
      </w:pPr>
      <w:r w:rsidRPr="002F2925">
        <w:rPr>
          <w:rFonts w:ascii="Times New Roman" w:hAnsi="Times New Roman"/>
          <w:sz w:val="24"/>
          <w:szCs w:val="24"/>
        </w:rPr>
        <w:t xml:space="preserve">Към края на годината се очаква приходите (без трансферите) да </w:t>
      </w:r>
      <w:r>
        <w:rPr>
          <w:rFonts w:ascii="Times New Roman" w:hAnsi="Times New Roman"/>
          <w:sz w:val="24"/>
          <w:szCs w:val="24"/>
        </w:rPr>
        <w:t xml:space="preserve">бъдат </w:t>
      </w:r>
      <w:r w:rsidRPr="002F2925">
        <w:rPr>
          <w:rFonts w:ascii="Times New Roman" w:hAnsi="Times New Roman"/>
          <w:sz w:val="24"/>
          <w:szCs w:val="24"/>
        </w:rPr>
        <w:t>8 051,1 млн. лв. и изпълнението спрямо плана да бъде с 338,0 млн. лв. повече (4,4 на сто). Разходите (без трансферите) за 2020 г. се очаква да бъдат 13 405,7 млн. лв., с 1,5 на сто по-малко от планираните или 198,5 млн. лв. икономия. Очакваните трансфери за 2020 г. са в размер на 5 886,1 млн. лв., което е с 4,9 млн. лв. по-малко.</w:t>
      </w:r>
    </w:p>
    <w:p w14:paraId="5393CDFD" w14:textId="77777777" w:rsidR="002F2925" w:rsidRPr="002F2925" w:rsidRDefault="002F2925" w:rsidP="00E53986">
      <w:pPr>
        <w:pStyle w:val="BodyText2"/>
        <w:spacing w:after="0" w:line="240" w:lineRule="auto"/>
        <w:ind w:firstLine="709"/>
        <w:rPr>
          <w:rFonts w:ascii="Times New Roman" w:hAnsi="Times New Roman"/>
          <w:b/>
          <w:bCs/>
          <w:sz w:val="24"/>
          <w:szCs w:val="24"/>
        </w:rPr>
      </w:pPr>
      <w:r w:rsidRPr="002F2925">
        <w:rPr>
          <w:rFonts w:ascii="Times New Roman" w:hAnsi="Times New Roman"/>
          <w:sz w:val="24"/>
          <w:szCs w:val="24"/>
        </w:rPr>
        <w:t>Очакваният излишък по КБДОО за 2020 г. е в размер на 531,5 млн. лв.</w:t>
      </w:r>
    </w:p>
    <w:p w14:paraId="0D78C464" w14:textId="77777777" w:rsidR="002F2925" w:rsidRDefault="002F2925" w:rsidP="00E53986">
      <w:pPr>
        <w:pStyle w:val="BodyText2"/>
        <w:spacing w:after="0" w:line="240" w:lineRule="auto"/>
        <w:ind w:left="709"/>
        <w:rPr>
          <w:rFonts w:ascii="Times New Roman" w:hAnsi="Times New Roman"/>
          <w:sz w:val="24"/>
          <w:szCs w:val="24"/>
          <w:u w:val="single"/>
        </w:rPr>
      </w:pPr>
    </w:p>
    <w:p w14:paraId="68525480" w14:textId="6D12E680" w:rsidR="002F2925" w:rsidRPr="002F2925" w:rsidRDefault="002F2925" w:rsidP="00E53986">
      <w:pPr>
        <w:pStyle w:val="BodyText2"/>
        <w:spacing w:after="0" w:line="240" w:lineRule="auto"/>
        <w:ind w:left="709"/>
        <w:rPr>
          <w:rFonts w:ascii="Times New Roman" w:hAnsi="Times New Roman"/>
          <w:bCs/>
          <w:sz w:val="24"/>
          <w:szCs w:val="24"/>
        </w:rPr>
      </w:pPr>
      <w:r w:rsidRPr="002F2925">
        <w:rPr>
          <w:rFonts w:ascii="Times New Roman" w:hAnsi="Times New Roman"/>
          <w:sz w:val="24"/>
          <w:szCs w:val="24"/>
        </w:rPr>
        <w:lastRenderedPageBreak/>
        <w:t>Приходите на КБДОО са както следва:</w:t>
      </w:r>
    </w:p>
    <w:p w14:paraId="39809A6D" w14:textId="77777777" w:rsidR="002F2925" w:rsidRPr="002F2925" w:rsidRDefault="002F2925" w:rsidP="00E53986">
      <w:pPr>
        <w:pStyle w:val="BodyText2"/>
        <w:spacing w:after="0" w:line="240" w:lineRule="auto"/>
        <w:ind w:left="990"/>
        <w:rPr>
          <w:rFonts w:ascii="Times New Roman" w:hAnsi="Times New Roman"/>
          <w:b/>
          <w:bCs/>
          <w:sz w:val="24"/>
          <w:szCs w:val="24"/>
        </w:rPr>
      </w:pPr>
    </w:p>
    <w:p w14:paraId="15B11EF8" w14:textId="77777777" w:rsidR="002F2925" w:rsidRPr="002F2925" w:rsidRDefault="002F2925" w:rsidP="00E53986">
      <w:pPr>
        <w:pStyle w:val="BodyText2"/>
        <w:spacing w:after="0" w:line="240" w:lineRule="auto"/>
        <w:ind w:left="1350"/>
        <w:rPr>
          <w:rFonts w:ascii="Times New Roman" w:hAnsi="Times New Roman"/>
          <w:b/>
          <w:bCs/>
          <w:sz w:val="24"/>
          <w:szCs w:val="24"/>
        </w:rPr>
      </w:pPr>
      <w:r w:rsidRPr="002F2925">
        <w:rPr>
          <w:rFonts w:ascii="Times New Roman" w:hAnsi="Times New Roman"/>
          <w:sz w:val="24"/>
          <w:szCs w:val="24"/>
        </w:rPr>
        <w:t>2020 г.  –  7 713,2</w:t>
      </w:r>
      <w:r w:rsidRPr="002F2925">
        <w:rPr>
          <w:rStyle w:val="FootnoteReference"/>
          <w:rFonts w:ascii="Times New Roman" w:hAnsi="Times New Roman"/>
          <w:sz w:val="24"/>
          <w:szCs w:val="24"/>
        </w:rPr>
        <w:footnoteReference w:id="1"/>
      </w:r>
      <w:r w:rsidRPr="002F2925">
        <w:rPr>
          <w:rFonts w:ascii="Times New Roman" w:hAnsi="Times New Roman"/>
          <w:sz w:val="24"/>
          <w:szCs w:val="24"/>
        </w:rPr>
        <w:t xml:space="preserve"> млн. лв. ЗБДОО,</w:t>
      </w:r>
    </w:p>
    <w:p w14:paraId="46FDBBA1" w14:textId="77777777" w:rsidR="002F2925" w:rsidRPr="002F2925" w:rsidRDefault="002F2925" w:rsidP="00E53986">
      <w:pPr>
        <w:pStyle w:val="BodyText2"/>
        <w:spacing w:after="0" w:line="240" w:lineRule="auto"/>
        <w:ind w:left="1350"/>
        <w:rPr>
          <w:rFonts w:ascii="Times New Roman" w:hAnsi="Times New Roman"/>
          <w:b/>
          <w:bCs/>
          <w:sz w:val="24"/>
          <w:szCs w:val="24"/>
        </w:rPr>
      </w:pPr>
      <w:r w:rsidRPr="002F2925">
        <w:rPr>
          <w:rFonts w:ascii="Times New Roman" w:hAnsi="Times New Roman"/>
          <w:sz w:val="24"/>
          <w:szCs w:val="24"/>
        </w:rPr>
        <w:t>2020 г.  –  8 051,1 млн. лв. очаквано,</w:t>
      </w:r>
    </w:p>
    <w:p w14:paraId="0F13D76C" w14:textId="77777777" w:rsidR="002F2925" w:rsidRPr="002F2925" w:rsidRDefault="002F2925" w:rsidP="00E53986">
      <w:pPr>
        <w:pStyle w:val="BodyText2"/>
        <w:spacing w:after="0" w:line="240" w:lineRule="auto"/>
        <w:ind w:left="1350"/>
        <w:rPr>
          <w:rFonts w:ascii="Times New Roman" w:hAnsi="Times New Roman"/>
          <w:b/>
          <w:bCs/>
          <w:sz w:val="24"/>
          <w:szCs w:val="24"/>
        </w:rPr>
      </w:pPr>
      <w:r w:rsidRPr="002F2925">
        <w:rPr>
          <w:rFonts w:ascii="Times New Roman" w:hAnsi="Times New Roman"/>
          <w:sz w:val="24"/>
          <w:szCs w:val="24"/>
        </w:rPr>
        <w:t>2021 г.  –  8 457,2 млн. лв. проект.</w:t>
      </w:r>
    </w:p>
    <w:p w14:paraId="073C0C1A" w14:textId="77777777" w:rsidR="002F2925" w:rsidRPr="002F2925" w:rsidRDefault="002F2925" w:rsidP="00E53986">
      <w:pPr>
        <w:pStyle w:val="BodyText2"/>
        <w:spacing w:after="0" w:line="240" w:lineRule="auto"/>
        <w:rPr>
          <w:rFonts w:ascii="Times New Roman" w:hAnsi="Times New Roman"/>
          <w:b/>
          <w:bCs/>
          <w:sz w:val="18"/>
          <w:szCs w:val="18"/>
        </w:rPr>
      </w:pPr>
    </w:p>
    <w:p w14:paraId="25A8E7F6" w14:textId="1B0FA5AB" w:rsidR="002F2925" w:rsidRPr="002F2925" w:rsidRDefault="002F2925" w:rsidP="00E53986">
      <w:pPr>
        <w:pStyle w:val="BodyText2"/>
        <w:spacing w:after="0" w:line="240" w:lineRule="auto"/>
        <w:ind w:firstLine="720"/>
        <w:jc w:val="both"/>
        <w:rPr>
          <w:rFonts w:ascii="Times New Roman" w:hAnsi="Times New Roman"/>
          <w:b/>
          <w:bCs/>
          <w:sz w:val="24"/>
          <w:szCs w:val="24"/>
        </w:rPr>
      </w:pPr>
      <w:r w:rsidRPr="002F2925">
        <w:rPr>
          <w:rFonts w:ascii="Times New Roman" w:hAnsi="Times New Roman"/>
          <w:sz w:val="24"/>
          <w:szCs w:val="24"/>
        </w:rPr>
        <w:t>Общият размер на приходите и получените трансфери за 2021 г. е 14 841,3 млн. лв., в т. ч. получените трансфери от централния/държавния бюджет – 6 384,0 млн. лв. (за</w:t>
      </w:r>
      <w:r>
        <w:rPr>
          <w:rFonts w:ascii="Times New Roman" w:hAnsi="Times New Roman"/>
          <w:sz w:val="24"/>
          <w:szCs w:val="24"/>
        </w:rPr>
        <w:t xml:space="preserve"> </w:t>
      </w:r>
      <w:r w:rsidRPr="002F2925">
        <w:rPr>
          <w:rFonts w:ascii="Times New Roman" w:hAnsi="Times New Roman"/>
          <w:sz w:val="24"/>
          <w:szCs w:val="24"/>
        </w:rPr>
        <w:t>пенсии, добавки и обезщетения, финансирани от държавния бюджет – 178,6 млн. лв. и за покриване на недостига от средства – 6 205,4 млн. лв.)</w:t>
      </w:r>
    </w:p>
    <w:p w14:paraId="5BD789C7" w14:textId="77777777" w:rsidR="002F2925" w:rsidRPr="002F2925" w:rsidRDefault="002F2925" w:rsidP="00E53986">
      <w:pPr>
        <w:pStyle w:val="BodyText2"/>
        <w:spacing w:after="0" w:line="240" w:lineRule="auto"/>
        <w:ind w:firstLine="720"/>
        <w:rPr>
          <w:rFonts w:ascii="Times New Roman" w:hAnsi="Times New Roman"/>
          <w:b/>
          <w:bCs/>
          <w:sz w:val="18"/>
          <w:szCs w:val="18"/>
        </w:rPr>
      </w:pPr>
    </w:p>
    <w:p w14:paraId="76CD8715" w14:textId="77777777" w:rsidR="002F2925" w:rsidRPr="002F2925" w:rsidRDefault="002F2925" w:rsidP="00E53986">
      <w:pPr>
        <w:pStyle w:val="BodyText2"/>
        <w:spacing w:after="0" w:line="240" w:lineRule="auto"/>
        <w:ind w:firstLine="720"/>
        <w:rPr>
          <w:rFonts w:ascii="Times New Roman" w:hAnsi="Times New Roman"/>
          <w:bCs/>
          <w:sz w:val="24"/>
          <w:szCs w:val="24"/>
        </w:rPr>
      </w:pPr>
      <w:r w:rsidRPr="002F2925">
        <w:rPr>
          <w:rFonts w:ascii="Times New Roman" w:hAnsi="Times New Roman"/>
          <w:sz w:val="24"/>
          <w:szCs w:val="24"/>
        </w:rPr>
        <w:t>Разходите по КБДОО са:</w:t>
      </w:r>
    </w:p>
    <w:p w14:paraId="45C43122" w14:textId="77777777" w:rsidR="002F2925" w:rsidRPr="002F2925" w:rsidRDefault="002F2925" w:rsidP="00E53986">
      <w:pPr>
        <w:pStyle w:val="BodyText2"/>
        <w:spacing w:after="0" w:line="240" w:lineRule="auto"/>
        <w:ind w:firstLine="720"/>
        <w:rPr>
          <w:rFonts w:ascii="Times New Roman" w:hAnsi="Times New Roman"/>
          <w:bCs/>
          <w:sz w:val="24"/>
          <w:szCs w:val="24"/>
          <w:u w:val="single"/>
        </w:rPr>
      </w:pPr>
    </w:p>
    <w:p w14:paraId="129DAC9D" w14:textId="77777777" w:rsidR="002F2925" w:rsidRPr="002F2925" w:rsidRDefault="002F2925" w:rsidP="00E53986">
      <w:pPr>
        <w:pStyle w:val="BodyText2"/>
        <w:spacing w:after="0" w:line="240" w:lineRule="auto"/>
        <w:ind w:left="1350"/>
        <w:rPr>
          <w:rFonts w:ascii="Times New Roman" w:hAnsi="Times New Roman"/>
          <w:b/>
          <w:bCs/>
          <w:sz w:val="24"/>
          <w:szCs w:val="24"/>
        </w:rPr>
      </w:pPr>
      <w:r w:rsidRPr="002F2925">
        <w:rPr>
          <w:rFonts w:ascii="Times New Roman" w:hAnsi="Times New Roman"/>
          <w:sz w:val="24"/>
          <w:szCs w:val="24"/>
        </w:rPr>
        <w:t>2020 г.  –  13 448,3 млн. лв. ЗБДОО,</w:t>
      </w:r>
    </w:p>
    <w:p w14:paraId="45F3AC8C" w14:textId="77777777" w:rsidR="002F2925" w:rsidRPr="002F2925" w:rsidRDefault="002F2925" w:rsidP="00E53986">
      <w:pPr>
        <w:pStyle w:val="BodyText2"/>
        <w:spacing w:after="0" w:line="240" w:lineRule="auto"/>
        <w:ind w:left="1350"/>
        <w:rPr>
          <w:rFonts w:ascii="Times New Roman" w:hAnsi="Times New Roman"/>
          <w:b/>
          <w:bCs/>
          <w:sz w:val="24"/>
          <w:szCs w:val="24"/>
        </w:rPr>
      </w:pPr>
      <w:r w:rsidRPr="002F2925">
        <w:rPr>
          <w:rFonts w:ascii="Times New Roman" w:hAnsi="Times New Roman"/>
          <w:sz w:val="24"/>
          <w:szCs w:val="24"/>
        </w:rPr>
        <w:t>2020 г.  –  13 405,7 млн. лв. очаквано,</w:t>
      </w:r>
    </w:p>
    <w:p w14:paraId="302F4277" w14:textId="77777777" w:rsidR="002F2925" w:rsidRPr="002F2925" w:rsidRDefault="002F2925" w:rsidP="00E53986">
      <w:pPr>
        <w:pStyle w:val="BodyText2"/>
        <w:spacing w:after="0" w:line="240" w:lineRule="auto"/>
        <w:ind w:left="1350"/>
        <w:rPr>
          <w:rFonts w:ascii="Times New Roman" w:hAnsi="Times New Roman"/>
          <w:b/>
          <w:bCs/>
          <w:sz w:val="24"/>
          <w:szCs w:val="24"/>
        </w:rPr>
      </w:pPr>
      <w:r w:rsidRPr="002F2925">
        <w:rPr>
          <w:rFonts w:ascii="Times New Roman" w:hAnsi="Times New Roman"/>
          <w:sz w:val="24"/>
          <w:szCs w:val="24"/>
        </w:rPr>
        <w:t>2021 г.  –  14 833,9 млн. лв. проект.</w:t>
      </w:r>
    </w:p>
    <w:p w14:paraId="20158D46" w14:textId="77777777" w:rsidR="002F2925" w:rsidRPr="002F2925" w:rsidRDefault="002F2925" w:rsidP="00E53986">
      <w:pPr>
        <w:pStyle w:val="BodyTextIndent"/>
        <w:spacing w:after="0"/>
        <w:ind w:left="0" w:firstLine="720"/>
        <w:jc w:val="both"/>
        <w:rPr>
          <w:sz w:val="18"/>
          <w:szCs w:val="18"/>
          <w:lang w:val="bg-BG"/>
        </w:rPr>
      </w:pPr>
    </w:p>
    <w:p w14:paraId="75D97930" w14:textId="4EC7816B" w:rsidR="002F2925" w:rsidRPr="002F2925" w:rsidRDefault="002F2925" w:rsidP="00E53986">
      <w:pPr>
        <w:pStyle w:val="BodyTextIndent"/>
        <w:spacing w:after="0"/>
        <w:ind w:left="0" w:firstLine="720"/>
        <w:jc w:val="both"/>
        <w:rPr>
          <w:b/>
          <w:sz w:val="24"/>
          <w:szCs w:val="24"/>
          <w:lang w:val="bg-BG"/>
        </w:rPr>
      </w:pPr>
      <w:r w:rsidRPr="002F2925">
        <w:rPr>
          <w:sz w:val="24"/>
          <w:szCs w:val="24"/>
          <w:lang w:val="bg-BG"/>
        </w:rPr>
        <w:t>Общият размер на разходите за пенсии, краткосрочни обезщетения, службите по социално осигуряване и предоставените трансфери за 2021 г. е 14 841,3 млн. лв., в т. ч. предоставени трансфери в размер на 7 400,0 хил.</w:t>
      </w:r>
      <w:r>
        <w:rPr>
          <w:sz w:val="24"/>
          <w:szCs w:val="24"/>
          <w:lang w:val="bg-BG"/>
        </w:rPr>
        <w:t xml:space="preserve"> </w:t>
      </w:r>
      <w:r w:rsidRPr="002F2925">
        <w:rPr>
          <w:sz w:val="24"/>
          <w:szCs w:val="24"/>
          <w:lang w:val="bg-BG"/>
        </w:rPr>
        <w:t>лв</w:t>
      </w:r>
      <w:r>
        <w:rPr>
          <w:sz w:val="24"/>
          <w:szCs w:val="24"/>
          <w:lang w:val="bg-BG"/>
        </w:rPr>
        <w:t>.</w:t>
      </w:r>
      <w:r w:rsidRPr="002F2925">
        <w:rPr>
          <w:sz w:val="24"/>
          <w:szCs w:val="24"/>
          <w:lang w:val="bg-BG"/>
        </w:rPr>
        <w:t>, от които 3 150,0 хил. лв. за Министерство на здравеопазването, 4 000,0 хил. лв. за Министерство на труда и социалната политика (МТСП) и 250,0 хил. лв. за Министерство на транспорта, информационните технологии и съобщенията (МТИТС).</w:t>
      </w:r>
    </w:p>
    <w:p w14:paraId="6C2BAF25" w14:textId="1DDCA9FF" w:rsidR="002F2925" w:rsidRPr="002F2925" w:rsidRDefault="002F2925" w:rsidP="00E53986">
      <w:pPr>
        <w:spacing w:after="0" w:line="240" w:lineRule="auto"/>
        <w:ind w:firstLine="709"/>
        <w:jc w:val="both"/>
        <w:rPr>
          <w:rFonts w:ascii="Times New Roman" w:hAnsi="Times New Roman"/>
          <w:sz w:val="24"/>
          <w:szCs w:val="24"/>
        </w:rPr>
      </w:pPr>
      <w:r>
        <w:rPr>
          <w:rFonts w:ascii="Times New Roman" w:hAnsi="Times New Roman"/>
          <w:bCs/>
          <w:sz w:val="24"/>
          <w:szCs w:val="24"/>
        </w:rPr>
        <w:t>При подготовката на ф</w:t>
      </w:r>
      <w:r w:rsidRPr="002F2925">
        <w:rPr>
          <w:rFonts w:ascii="Times New Roman" w:hAnsi="Times New Roman"/>
          <w:bCs/>
          <w:sz w:val="24"/>
          <w:szCs w:val="24"/>
        </w:rPr>
        <w:t>инансовите разчети за пенсиите през 202</w:t>
      </w:r>
      <w:r w:rsidRPr="002F2925">
        <w:rPr>
          <w:rFonts w:ascii="Times New Roman" w:hAnsi="Times New Roman"/>
          <w:bCs/>
          <w:sz w:val="24"/>
          <w:szCs w:val="24"/>
          <w:lang w:val="en-US"/>
        </w:rPr>
        <w:t>1</w:t>
      </w:r>
      <w:r w:rsidRPr="002F2925">
        <w:rPr>
          <w:rFonts w:ascii="Times New Roman" w:hAnsi="Times New Roman"/>
          <w:bCs/>
          <w:sz w:val="24"/>
          <w:szCs w:val="24"/>
        </w:rPr>
        <w:t xml:space="preserve"> г. </w:t>
      </w:r>
      <w:r>
        <w:rPr>
          <w:rFonts w:ascii="Times New Roman" w:hAnsi="Times New Roman"/>
          <w:sz w:val="24"/>
          <w:szCs w:val="24"/>
        </w:rPr>
        <w:t xml:space="preserve">са взети </w:t>
      </w:r>
      <w:r w:rsidRPr="002F2925">
        <w:rPr>
          <w:rFonts w:ascii="Times New Roman" w:hAnsi="Times New Roman"/>
          <w:sz w:val="24"/>
          <w:szCs w:val="24"/>
        </w:rPr>
        <w:t>предвид промените в условията за пенсиониране за всички категории труд, а именно:</w:t>
      </w:r>
    </w:p>
    <w:p w14:paraId="62EB0C49" w14:textId="77777777" w:rsidR="002F2925" w:rsidRPr="002F2925" w:rsidRDefault="002F2925" w:rsidP="00E53986">
      <w:pPr>
        <w:numPr>
          <w:ilvl w:val="0"/>
          <w:numId w:val="2"/>
        </w:numPr>
        <w:tabs>
          <w:tab w:val="left" w:pos="1134"/>
        </w:tabs>
        <w:spacing w:after="0" w:line="240" w:lineRule="auto"/>
        <w:ind w:left="0" w:firstLine="709"/>
        <w:jc w:val="both"/>
        <w:rPr>
          <w:rFonts w:ascii="Times New Roman" w:hAnsi="Times New Roman"/>
          <w:b/>
          <w:sz w:val="24"/>
          <w:szCs w:val="24"/>
        </w:rPr>
      </w:pPr>
      <w:r w:rsidRPr="002F2925">
        <w:rPr>
          <w:rFonts w:ascii="Times New Roman" w:hAnsi="Times New Roman"/>
          <w:b/>
          <w:sz w:val="24"/>
          <w:szCs w:val="24"/>
        </w:rPr>
        <w:t xml:space="preserve">по чл. 68, ал. 1-2 на КСО – </w:t>
      </w:r>
      <w:r w:rsidRPr="002F2925">
        <w:rPr>
          <w:rFonts w:ascii="Times New Roman" w:hAnsi="Times New Roman"/>
          <w:sz w:val="24"/>
          <w:szCs w:val="24"/>
        </w:rPr>
        <w:t>През 2021 г. необходимите условия за пенсиониране за работещите при условията на трета категория труд са 61 години и 8 месеца навършена възраст и 36 години осигурителен стаж за жените и 64 години и 4 месеца навършена възраст и 39 години осигурителен стаж за мъжете;</w:t>
      </w:r>
      <w:r w:rsidRPr="002F2925">
        <w:rPr>
          <w:rFonts w:ascii="Times New Roman" w:hAnsi="Times New Roman"/>
          <w:b/>
          <w:sz w:val="24"/>
          <w:szCs w:val="24"/>
        </w:rPr>
        <w:t xml:space="preserve"> </w:t>
      </w:r>
    </w:p>
    <w:p w14:paraId="6E433172" w14:textId="77777777" w:rsidR="002F2925" w:rsidRPr="002F2925" w:rsidRDefault="002F2925" w:rsidP="00E53986">
      <w:pPr>
        <w:numPr>
          <w:ilvl w:val="0"/>
          <w:numId w:val="2"/>
        </w:numPr>
        <w:tabs>
          <w:tab w:val="left" w:pos="1134"/>
        </w:tabs>
        <w:spacing w:after="0" w:line="240" w:lineRule="auto"/>
        <w:ind w:left="0" w:firstLine="709"/>
        <w:jc w:val="both"/>
        <w:rPr>
          <w:rFonts w:ascii="Times New Roman" w:hAnsi="Times New Roman"/>
          <w:sz w:val="24"/>
          <w:szCs w:val="24"/>
        </w:rPr>
      </w:pPr>
      <w:r w:rsidRPr="002F2925">
        <w:rPr>
          <w:rFonts w:ascii="Times New Roman" w:hAnsi="Times New Roman"/>
          <w:b/>
          <w:sz w:val="24"/>
          <w:szCs w:val="24"/>
        </w:rPr>
        <w:t xml:space="preserve">чл. 68, ал. 3 на КСО – </w:t>
      </w:r>
      <w:r w:rsidRPr="002F2925">
        <w:rPr>
          <w:rFonts w:ascii="Times New Roman" w:hAnsi="Times New Roman"/>
          <w:sz w:val="24"/>
          <w:szCs w:val="24"/>
        </w:rPr>
        <w:t>През 2021 г. необходимата възраст за пенсиониране при непълен стаж е 66 години и 8 месеца, при наличие на 15 години действителен осигурителен стаж;</w:t>
      </w:r>
    </w:p>
    <w:p w14:paraId="22CCD5F5" w14:textId="77777777" w:rsidR="002F2925" w:rsidRPr="002F2925" w:rsidRDefault="002F2925" w:rsidP="00E53986">
      <w:pPr>
        <w:numPr>
          <w:ilvl w:val="0"/>
          <w:numId w:val="2"/>
        </w:numPr>
        <w:tabs>
          <w:tab w:val="left" w:pos="1134"/>
        </w:tabs>
        <w:spacing w:after="0" w:line="240" w:lineRule="auto"/>
        <w:ind w:left="0" w:firstLine="709"/>
        <w:jc w:val="both"/>
        <w:rPr>
          <w:rFonts w:ascii="Times New Roman" w:hAnsi="Times New Roman"/>
          <w:sz w:val="24"/>
          <w:szCs w:val="24"/>
        </w:rPr>
      </w:pPr>
      <w:r w:rsidRPr="002F2925">
        <w:rPr>
          <w:rFonts w:ascii="Times New Roman" w:hAnsi="Times New Roman"/>
          <w:b/>
          <w:sz w:val="24"/>
          <w:szCs w:val="24"/>
        </w:rPr>
        <w:t>чл.</w:t>
      </w:r>
      <w:r w:rsidRPr="002F2925">
        <w:rPr>
          <w:rFonts w:ascii="Times New Roman" w:hAnsi="Times New Roman"/>
          <w:sz w:val="24"/>
          <w:szCs w:val="24"/>
        </w:rPr>
        <w:t xml:space="preserve"> </w:t>
      </w:r>
      <w:r w:rsidRPr="002F2925">
        <w:rPr>
          <w:rFonts w:ascii="Times New Roman" w:hAnsi="Times New Roman"/>
          <w:b/>
          <w:sz w:val="24"/>
          <w:szCs w:val="24"/>
        </w:rPr>
        <w:t>69, ал.1, 2, 3, 5, 5а и 6 на КСО</w:t>
      </w:r>
      <w:r w:rsidRPr="002F2925">
        <w:rPr>
          <w:rFonts w:ascii="Times New Roman" w:hAnsi="Times New Roman"/>
          <w:sz w:val="24"/>
          <w:szCs w:val="24"/>
        </w:rPr>
        <w:t xml:space="preserve"> – През 2021 г. необходимите условия за пенсиониране за лицата от сектор „Отбрана и сигурност” са 53 години и 8 месеца навършена възраст и 27 години осигурителен стаж и за двата пола; </w:t>
      </w:r>
    </w:p>
    <w:p w14:paraId="2738CF14" w14:textId="35725FE6" w:rsidR="002F2925" w:rsidRPr="002F2925" w:rsidRDefault="002F2925" w:rsidP="00E53986">
      <w:pPr>
        <w:numPr>
          <w:ilvl w:val="0"/>
          <w:numId w:val="2"/>
        </w:numPr>
        <w:tabs>
          <w:tab w:val="left" w:pos="1134"/>
        </w:tabs>
        <w:spacing w:after="0" w:line="240" w:lineRule="auto"/>
        <w:ind w:left="0" w:firstLine="709"/>
        <w:jc w:val="both"/>
        <w:rPr>
          <w:rFonts w:ascii="Times New Roman" w:eastAsia="Arial Unicode MS" w:hAnsi="Times New Roman"/>
          <w:sz w:val="24"/>
          <w:szCs w:val="24"/>
        </w:rPr>
      </w:pPr>
      <w:r w:rsidRPr="002F2925">
        <w:rPr>
          <w:rFonts w:ascii="Times New Roman" w:hAnsi="Times New Roman"/>
          <w:b/>
          <w:sz w:val="24"/>
          <w:szCs w:val="24"/>
        </w:rPr>
        <w:t>чл. 69б (отм. § 4 от ПЗР на КСО)</w:t>
      </w:r>
      <w:r w:rsidRPr="002F2925">
        <w:rPr>
          <w:rFonts w:ascii="Times New Roman" w:hAnsi="Times New Roman"/>
          <w:sz w:val="24"/>
          <w:szCs w:val="24"/>
        </w:rPr>
        <w:t xml:space="preserve"> – През 2021 г. необходимите условия за отпускане на пенсия от ДОО за лицата, работили при условията на първа и втора категория труд, които не отговарят на условията за пенсиониране от професионален пенсионен фонд по чл. 168 на КСО или са променили осигуряването си по чл. 4в от КСО, са както следва:</w:t>
      </w:r>
    </w:p>
    <w:p w14:paraId="7FD5C03C" w14:textId="07AA6EF7" w:rsidR="002F2925" w:rsidRDefault="002F2925" w:rsidP="00E53986">
      <w:pPr>
        <w:tabs>
          <w:tab w:val="left" w:pos="1134"/>
        </w:tabs>
        <w:spacing w:after="0" w:line="240" w:lineRule="auto"/>
        <w:ind w:left="709"/>
        <w:jc w:val="both"/>
        <w:rPr>
          <w:rFonts w:ascii="Times New Roman" w:eastAsia="Arial Unicode MS" w:hAnsi="Times New Roman"/>
          <w:sz w:val="24"/>
          <w:szCs w:val="24"/>
        </w:rPr>
      </w:pPr>
    </w:p>
    <w:p w14:paraId="306FBE97" w14:textId="49EF7DEC" w:rsidR="00E53986" w:rsidRDefault="00E53986" w:rsidP="00E53986">
      <w:pPr>
        <w:tabs>
          <w:tab w:val="left" w:pos="1134"/>
        </w:tabs>
        <w:spacing w:after="0" w:line="240" w:lineRule="auto"/>
        <w:ind w:left="709"/>
        <w:jc w:val="both"/>
        <w:rPr>
          <w:rFonts w:ascii="Times New Roman" w:eastAsia="Arial Unicode MS" w:hAnsi="Times New Roman"/>
          <w:sz w:val="24"/>
          <w:szCs w:val="24"/>
        </w:rPr>
      </w:pPr>
    </w:p>
    <w:p w14:paraId="03BEA320" w14:textId="77777777" w:rsidR="00E53986" w:rsidRPr="002F2925" w:rsidRDefault="00E53986" w:rsidP="00E53986">
      <w:pPr>
        <w:tabs>
          <w:tab w:val="left" w:pos="1134"/>
        </w:tabs>
        <w:spacing w:after="0" w:line="240" w:lineRule="auto"/>
        <w:ind w:left="709"/>
        <w:jc w:val="both"/>
        <w:rPr>
          <w:rFonts w:ascii="Times New Roman" w:eastAsia="Arial Unicode MS" w:hAnsi="Times New Roman"/>
          <w:sz w:val="24"/>
          <w:szCs w:val="24"/>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28"/>
        <w:gridCol w:w="1432"/>
        <w:gridCol w:w="1417"/>
        <w:gridCol w:w="1843"/>
        <w:gridCol w:w="1418"/>
        <w:gridCol w:w="1842"/>
      </w:tblGrid>
      <w:tr w:rsidR="002F2925" w:rsidRPr="002F2925" w14:paraId="7E253562" w14:textId="77777777" w:rsidTr="00981775">
        <w:trPr>
          <w:trHeight w:val="467"/>
        </w:trPr>
        <w:tc>
          <w:tcPr>
            <w:tcW w:w="2660" w:type="dxa"/>
            <w:gridSpan w:val="2"/>
            <w:tcBorders>
              <w:top w:val="single" w:sz="4" w:space="0" w:color="auto"/>
              <w:left w:val="single" w:sz="4" w:space="0" w:color="auto"/>
              <w:bottom w:val="single" w:sz="4" w:space="0" w:color="auto"/>
              <w:right w:val="single" w:sz="4" w:space="0" w:color="auto"/>
            </w:tcBorders>
            <w:vAlign w:val="center"/>
            <w:hideMark/>
          </w:tcPr>
          <w:p w14:paraId="749EFA32" w14:textId="77777777" w:rsidR="002F2925" w:rsidRPr="002F2925" w:rsidRDefault="002F2925" w:rsidP="00E53986">
            <w:pPr>
              <w:spacing w:after="0" w:line="240" w:lineRule="auto"/>
              <w:jc w:val="center"/>
              <w:rPr>
                <w:rFonts w:ascii="Times New Roman" w:eastAsia="Arial Unicode MS" w:hAnsi="Times New Roman"/>
                <w:sz w:val="24"/>
                <w:szCs w:val="24"/>
              </w:rPr>
            </w:pPr>
            <w:r w:rsidRPr="002F2925">
              <w:rPr>
                <w:rFonts w:ascii="Times New Roman" w:eastAsia="Arial Unicode MS" w:hAnsi="Times New Roman"/>
                <w:sz w:val="24"/>
                <w:szCs w:val="24"/>
              </w:rPr>
              <w:lastRenderedPageBreak/>
              <w:t>2021 г.</w:t>
            </w:r>
          </w:p>
        </w:tc>
        <w:tc>
          <w:tcPr>
            <w:tcW w:w="3260" w:type="dxa"/>
            <w:gridSpan w:val="2"/>
            <w:tcBorders>
              <w:top w:val="single" w:sz="4" w:space="0" w:color="auto"/>
              <w:left w:val="single" w:sz="4" w:space="0" w:color="auto"/>
              <w:bottom w:val="single" w:sz="4" w:space="0" w:color="auto"/>
              <w:right w:val="single" w:sz="4" w:space="0" w:color="auto"/>
            </w:tcBorders>
            <w:vAlign w:val="center"/>
            <w:hideMark/>
          </w:tcPr>
          <w:p w14:paraId="11F156BD" w14:textId="77777777" w:rsidR="002F2925" w:rsidRPr="002F2925" w:rsidRDefault="002F2925" w:rsidP="00E53986">
            <w:pPr>
              <w:spacing w:after="0" w:line="240" w:lineRule="auto"/>
              <w:ind w:right="175"/>
              <w:jc w:val="center"/>
              <w:rPr>
                <w:rFonts w:ascii="Times New Roman" w:eastAsia="Arial Unicode MS" w:hAnsi="Times New Roman"/>
                <w:sz w:val="24"/>
                <w:szCs w:val="24"/>
              </w:rPr>
            </w:pPr>
            <w:r w:rsidRPr="002F2925">
              <w:rPr>
                <w:rFonts w:ascii="Times New Roman" w:eastAsia="Arial Unicode MS" w:hAnsi="Times New Roman"/>
                <w:sz w:val="24"/>
                <w:szCs w:val="24"/>
              </w:rPr>
              <w:t>Жени</w:t>
            </w:r>
          </w:p>
        </w:tc>
        <w:tc>
          <w:tcPr>
            <w:tcW w:w="3260" w:type="dxa"/>
            <w:gridSpan w:val="2"/>
            <w:tcBorders>
              <w:top w:val="single" w:sz="4" w:space="0" w:color="auto"/>
              <w:left w:val="single" w:sz="4" w:space="0" w:color="auto"/>
              <w:bottom w:val="single" w:sz="4" w:space="0" w:color="auto"/>
              <w:right w:val="single" w:sz="4" w:space="0" w:color="auto"/>
            </w:tcBorders>
            <w:vAlign w:val="center"/>
            <w:hideMark/>
          </w:tcPr>
          <w:p w14:paraId="72994CD3" w14:textId="77777777" w:rsidR="002F2925" w:rsidRPr="002F2925" w:rsidRDefault="002F2925" w:rsidP="00E53986">
            <w:pPr>
              <w:spacing w:after="0" w:line="240" w:lineRule="auto"/>
              <w:jc w:val="center"/>
              <w:rPr>
                <w:rFonts w:ascii="Times New Roman" w:eastAsia="Arial Unicode MS" w:hAnsi="Times New Roman"/>
                <w:sz w:val="24"/>
                <w:szCs w:val="24"/>
              </w:rPr>
            </w:pPr>
            <w:r w:rsidRPr="002F2925">
              <w:rPr>
                <w:rFonts w:ascii="Times New Roman" w:eastAsia="Arial Unicode MS" w:hAnsi="Times New Roman"/>
                <w:sz w:val="24"/>
                <w:szCs w:val="24"/>
              </w:rPr>
              <w:t>Мъже</w:t>
            </w:r>
          </w:p>
        </w:tc>
      </w:tr>
      <w:tr w:rsidR="002F2925" w:rsidRPr="002F2925" w14:paraId="56DD99D1" w14:textId="77777777" w:rsidTr="00981775">
        <w:tc>
          <w:tcPr>
            <w:tcW w:w="2660" w:type="dxa"/>
            <w:gridSpan w:val="2"/>
            <w:tcBorders>
              <w:top w:val="single" w:sz="4" w:space="0" w:color="auto"/>
              <w:left w:val="single" w:sz="4" w:space="0" w:color="auto"/>
              <w:bottom w:val="single" w:sz="4" w:space="0" w:color="auto"/>
              <w:right w:val="single" w:sz="4" w:space="0" w:color="auto"/>
            </w:tcBorders>
            <w:vAlign w:val="center"/>
            <w:hideMark/>
          </w:tcPr>
          <w:p w14:paraId="747DDED1" w14:textId="77777777" w:rsidR="002F2925" w:rsidRPr="002F2925" w:rsidRDefault="002F2925" w:rsidP="00E53986">
            <w:pPr>
              <w:spacing w:after="0" w:line="240" w:lineRule="auto"/>
              <w:jc w:val="center"/>
              <w:rPr>
                <w:rFonts w:ascii="Times New Roman" w:eastAsia="Arial Unicode MS" w:hAnsi="Times New Roman"/>
                <w:sz w:val="24"/>
                <w:szCs w:val="24"/>
              </w:rPr>
            </w:pPr>
            <w:r w:rsidRPr="002F2925">
              <w:rPr>
                <w:rFonts w:ascii="Times New Roman" w:eastAsia="Arial Unicode MS" w:hAnsi="Times New Roman"/>
                <w:sz w:val="24"/>
                <w:szCs w:val="24"/>
              </w:rPr>
              <w:t>Необходим стаж от съответната категория</w:t>
            </w:r>
          </w:p>
        </w:tc>
        <w:tc>
          <w:tcPr>
            <w:tcW w:w="1417" w:type="dxa"/>
            <w:tcBorders>
              <w:top w:val="single" w:sz="4" w:space="0" w:color="auto"/>
              <w:left w:val="single" w:sz="4" w:space="0" w:color="auto"/>
              <w:bottom w:val="single" w:sz="4" w:space="0" w:color="auto"/>
              <w:right w:val="single" w:sz="4" w:space="0" w:color="auto"/>
            </w:tcBorders>
            <w:vAlign w:val="center"/>
            <w:hideMark/>
          </w:tcPr>
          <w:p w14:paraId="1BD9FFA0" w14:textId="77777777" w:rsidR="002F2925" w:rsidRPr="002F2925" w:rsidRDefault="002F2925" w:rsidP="00E53986">
            <w:pPr>
              <w:spacing w:after="0" w:line="240" w:lineRule="auto"/>
              <w:jc w:val="center"/>
              <w:rPr>
                <w:rFonts w:ascii="Times New Roman" w:eastAsia="Arial Unicode MS" w:hAnsi="Times New Roman"/>
                <w:sz w:val="24"/>
                <w:szCs w:val="24"/>
              </w:rPr>
            </w:pPr>
            <w:r w:rsidRPr="002F2925">
              <w:rPr>
                <w:rFonts w:ascii="Times New Roman" w:eastAsia="Arial Unicode MS" w:hAnsi="Times New Roman"/>
                <w:sz w:val="24"/>
                <w:szCs w:val="24"/>
              </w:rPr>
              <w:t>Навършена възраст</w:t>
            </w:r>
          </w:p>
        </w:tc>
        <w:tc>
          <w:tcPr>
            <w:tcW w:w="1843" w:type="dxa"/>
            <w:tcBorders>
              <w:top w:val="single" w:sz="4" w:space="0" w:color="auto"/>
              <w:left w:val="single" w:sz="4" w:space="0" w:color="auto"/>
              <w:bottom w:val="single" w:sz="4" w:space="0" w:color="auto"/>
              <w:right w:val="single" w:sz="4" w:space="0" w:color="auto"/>
            </w:tcBorders>
            <w:vAlign w:val="center"/>
            <w:hideMark/>
          </w:tcPr>
          <w:p w14:paraId="15304ECE" w14:textId="77777777" w:rsidR="002F2925" w:rsidRPr="002F2925" w:rsidRDefault="002F2925" w:rsidP="00E53986">
            <w:pPr>
              <w:spacing w:after="0" w:line="240" w:lineRule="auto"/>
              <w:jc w:val="center"/>
              <w:rPr>
                <w:rFonts w:ascii="Times New Roman" w:eastAsia="Arial Unicode MS" w:hAnsi="Times New Roman"/>
                <w:sz w:val="24"/>
                <w:szCs w:val="24"/>
              </w:rPr>
            </w:pPr>
            <w:r w:rsidRPr="002F2925">
              <w:rPr>
                <w:rFonts w:ascii="Times New Roman" w:eastAsia="Arial Unicode MS" w:hAnsi="Times New Roman"/>
                <w:sz w:val="24"/>
                <w:szCs w:val="24"/>
              </w:rPr>
              <w:t>Сбор от възраст и стаж</w:t>
            </w:r>
          </w:p>
        </w:tc>
        <w:tc>
          <w:tcPr>
            <w:tcW w:w="1418" w:type="dxa"/>
            <w:tcBorders>
              <w:top w:val="single" w:sz="4" w:space="0" w:color="auto"/>
              <w:left w:val="single" w:sz="4" w:space="0" w:color="auto"/>
              <w:bottom w:val="single" w:sz="4" w:space="0" w:color="auto"/>
              <w:right w:val="single" w:sz="4" w:space="0" w:color="auto"/>
            </w:tcBorders>
            <w:vAlign w:val="center"/>
            <w:hideMark/>
          </w:tcPr>
          <w:p w14:paraId="794BF8B8" w14:textId="77777777" w:rsidR="002F2925" w:rsidRPr="002F2925" w:rsidRDefault="002F2925" w:rsidP="00E53986">
            <w:pPr>
              <w:spacing w:after="0" w:line="240" w:lineRule="auto"/>
              <w:jc w:val="center"/>
              <w:rPr>
                <w:rFonts w:ascii="Times New Roman" w:eastAsia="Arial Unicode MS" w:hAnsi="Times New Roman"/>
                <w:sz w:val="24"/>
                <w:szCs w:val="24"/>
              </w:rPr>
            </w:pPr>
            <w:r w:rsidRPr="002F2925">
              <w:rPr>
                <w:rFonts w:ascii="Times New Roman" w:eastAsia="Arial Unicode MS" w:hAnsi="Times New Roman"/>
                <w:sz w:val="24"/>
                <w:szCs w:val="24"/>
              </w:rPr>
              <w:t>Навършена възраст</w:t>
            </w:r>
          </w:p>
        </w:tc>
        <w:tc>
          <w:tcPr>
            <w:tcW w:w="1842" w:type="dxa"/>
            <w:tcBorders>
              <w:top w:val="single" w:sz="4" w:space="0" w:color="auto"/>
              <w:left w:val="single" w:sz="4" w:space="0" w:color="auto"/>
              <w:bottom w:val="single" w:sz="4" w:space="0" w:color="auto"/>
              <w:right w:val="single" w:sz="4" w:space="0" w:color="auto"/>
            </w:tcBorders>
            <w:vAlign w:val="center"/>
            <w:hideMark/>
          </w:tcPr>
          <w:p w14:paraId="72919A69" w14:textId="77777777" w:rsidR="002F2925" w:rsidRPr="002F2925" w:rsidRDefault="002F2925" w:rsidP="00E53986">
            <w:pPr>
              <w:spacing w:after="0" w:line="240" w:lineRule="auto"/>
              <w:jc w:val="center"/>
              <w:rPr>
                <w:rFonts w:ascii="Times New Roman" w:eastAsia="Arial Unicode MS" w:hAnsi="Times New Roman"/>
                <w:sz w:val="24"/>
                <w:szCs w:val="24"/>
              </w:rPr>
            </w:pPr>
            <w:r w:rsidRPr="002F2925">
              <w:rPr>
                <w:rFonts w:ascii="Times New Roman" w:eastAsia="Arial Unicode MS" w:hAnsi="Times New Roman"/>
                <w:sz w:val="24"/>
                <w:szCs w:val="24"/>
              </w:rPr>
              <w:t>Сбор от възраст и стаж</w:t>
            </w:r>
          </w:p>
        </w:tc>
      </w:tr>
      <w:tr w:rsidR="002F2925" w:rsidRPr="002F2925" w14:paraId="665036E5" w14:textId="77777777" w:rsidTr="00981775">
        <w:trPr>
          <w:trHeight w:val="706"/>
        </w:trPr>
        <w:tc>
          <w:tcPr>
            <w:tcW w:w="1228" w:type="dxa"/>
            <w:tcBorders>
              <w:top w:val="single" w:sz="4" w:space="0" w:color="auto"/>
              <w:left w:val="single" w:sz="4" w:space="0" w:color="auto"/>
              <w:bottom w:val="single" w:sz="4" w:space="0" w:color="auto"/>
              <w:right w:val="single" w:sz="4" w:space="0" w:color="auto"/>
            </w:tcBorders>
            <w:vAlign w:val="center"/>
            <w:hideMark/>
          </w:tcPr>
          <w:p w14:paraId="0E62C184" w14:textId="77777777" w:rsidR="002F2925" w:rsidRPr="002F2925" w:rsidRDefault="002F2925" w:rsidP="00E53986">
            <w:pPr>
              <w:spacing w:after="0" w:line="240" w:lineRule="auto"/>
              <w:jc w:val="center"/>
              <w:rPr>
                <w:rFonts w:ascii="Times New Roman" w:eastAsia="Arial Unicode MS" w:hAnsi="Times New Roman"/>
                <w:sz w:val="24"/>
                <w:szCs w:val="24"/>
              </w:rPr>
            </w:pPr>
            <w:r w:rsidRPr="002F2925">
              <w:rPr>
                <w:rFonts w:ascii="Times New Roman" w:eastAsia="Arial Unicode MS" w:hAnsi="Times New Roman"/>
                <w:sz w:val="24"/>
                <w:szCs w:val="24"/>
              </w:rPr>
              <w:t>Първа категория</w:t>
            </w:r>
          </w:p>
        </w:tc>
        <w:tc>
          <w:tcPr>
            <w:tcW w:w="1432" w:type="dxa"/>
            <w:tcBorders>
              <w:top w:val="single" w:sz="4" w:space="0" w:color="auto"/>
              <w:left w:val="single" w:sz="4" w:space="0" w:color="auto"/>
              <w:bottom w:val="single" w:sz="4" w:space="0" w:color="auto"/>
              <w:right w:val="single" w:sz="4" w:space="0" w:color="auto"/>
            </w:tcBorders>
            <w:vAlign w:val="center"/>
            <w:hideMark/>
          </w:tcPr>
          <w:p w14:paraId="7DA6AF94" w14:textId="77777777" w:rsidR="002F2925" w:rsidRPr="002F2925" w:rsidRDefault="002F2925" w:rsidP="00E53986">
            <w:pPr>
              <w:spacing w:after="0" w:line="240" w:lineRule="auto"/>
              <w:jc w:val="center"/>
              <w:rPr>
                <w:rFonts w:ascii="Times New Roman" w:eastAsia="Arial Unicode MS" w:hAnsi="Times New Roman"/>
                <w:sz w:val="24"/>
                <w:szCs w:val="24"/>
              </w:rPr>
            </w:pPr>
            <w:r w:rsidRPr="002F2925">
              <w:rPr>
                <w:rFonts w:ascii="Times New Roman" w:eastAsia="Arial Unicode MS" w:hAnsi="Times New Roman"/>
                <w:sz w:val="24"/>
                <w:szCs w:val="24"/>
              </w:rPr>
              <w:t>10</w:t>
            </w:r>
          </w:p>
        </w:tc>
        <w:tc>
          <w:tcPr>
            <w:tcW w:w="1417" w:type="dxa"/>
            <w:tcBorders>
              <w:top w:val="single" w:sz="4" w:space="0" w:color="auto"/>
              <w:left w:val="single" w:sz="4" w:space="0" w:color="auto"/>
              <w:bottom w:val="single" w:sz="4" w:space="0" w:color="auto"/>
              <w:right w:val="single" w:sz="4" w:space="0" w:color="auto"/>
            </w:tcBorders>
            <w:vAlign w:val="center"/>
            <w:hideMark/>
          </w:tcPr>
          <w:p w14:paraId="7EAABDAB" w14:textId="77777777" w:rsidR="002F2925" w:rsidRPr="002F2925" w:rsidRDefault="002F2925" w:rsidP="00E53986">
            <w:pPr>
              <w:spacing w:after="0" w:line="240" w:lineRule="auto"/>
              <w:jc w:val="center"/>
              <w:rPr>
                <w:rFonts w:ascii="Times New Roman" w:eastAsia="Arial Unicode MS" w:hAnsi="Times New Roman"/>
                <w:sz w:val="24"/>
                <w:szCs w:val="24"/>
              </w:rPr>
            </w:pPr>
            <w:r w:rsidRPr="002F2925">
              <w:rPr>
                <w:rFonts w:ascii="Times New Roman" w:eastAsia="Arial Unicode MS" w:hAnsi="Times New Roman"/>
                <w:sz w:val="24"/>
                <w:szCs w:val="24"/>
              </w:rPr>
              <w:t>49 г. 8</w:t>
            </w:r>
            <w:r w:rsidRPr="002F2925">
              <w:rPr>
                <w:rFonts w:ascii="Times New Roman" w:eastAsia="Arial Unicode MS" w:hAnsi="Times New Roman"/>
                <w:sz w:val="24"/>
                <w:szCs w:val="24"/>
                <w:lang w:val="en-US"/>
              </w:rPr>
              <w:t xml:space="preserve"> </w:t>
            </w:r>
            <w:r w:rsidRPr="002F2925">
              <w:rPr>
                <w:rFonts w:ascii="Times New Roman" w:eastAsia="Arial Unicode MS" w:hAnsi="Times New Roman"/>
                <w:sz w:val="24"/>
                <w:szCs w:val="24"/>
              </w:rPr>
              <w:t>м.</w:t>
            </w:r>
          </w:p>
        </w:tc>
        <w:tc>
          <w:tcPr>
            <w:tcW w:w="1843" w:type="dxa"/>
            <w:tcBorders>
              <w:top w:val="single" w:sz="4" w:space="0" w:color="auto"/>
              <w:left w:val="single" w:sz="4" w:space="0" w:color="auto"/>
              <w:bottom w:val="single" w:sz="4" w:space="0" w:color="auto"/>
              <w:right w:val="single" w:sz="4" w:space="0" w:color="auto"/>
            </w:tcBorders>
            <w:vAlign w:val="center"/>
            <w:hideMark/>
          </w:tcPr>
          <w:p w14:paraId="773B4187" w14:textId="77777777" w:rsidR="002F2925" w:rsidRPr="002F2925" w:rsidRDefault="002F2925" w:rsidP="00E53986">
            <w:pPr>
              <w:spacing w:after="0" w:line="240" w:lineRule="auto"/>
              <w:jc w:val="center"/>
              <w:rPr>
                <w:rFonts w:ascii="Times New Roman" w:eastAsia="Arial Unicode MS" w:hAnsi="Times New Roman"/>
                <w:sz w:val="24"/>
                <w:szCs w:val="24"/>
              </w:rPr>
            </w:pPr>
            <w:r w:rsidRPr="002F2925">
              <w:rPr>
                <w:rFonts w:ascii="Times New Roman" w:eastAsia="Arial Unicode MS" w:hAnsi="Times New Roman"/>
                <w:sz w:val="24"/>
                <w:szCs w:val="24"/>
              </w:rPr>
              <w:t>94</w:t>
            </w:r>
          </w:p>
        </w:tc>
        <w:tc>
          <w:tcPr>
            <w:tcW w:w="1418" w:type="dxa"/>
            <w:tcBorders>
              <w:top w:val="single" w:sz="4" w:space="0" w:color="auto"/>
              <w:left w:val="single" w:sz="4" w:space="0" w:color="auto"/>
              <w:bottom w:val="single" w:sz="4" w:space="0" w:color="auto"/>
              <w:right w:val="single" w:sz="4" w:space="0" w:color="auto"/>
            </w:tcBorders>
            <w:vAlign w:val="center"/>
            <w:hideMark/>
          </w:tcPr>
          <w:p w14:paraId="374DD45A" w14:textId="77777777" w:rsidR="002F2925" w:rsidRPr="002F2925" w:rsidRDefault="002F2925" w:rsidP="00E53986">
            <w:pPr>
              <w:spacing w:after="0" w:line="240" w:lineRule="auto"/>
              <w:jc w:val="center"/>
              <w:rPr>
                <w:rFonts w:ascii="Times New Roman" w:eastAsia="Arial Unicode MS" w:hAnsi="Times New Roman"/>
                <w:sz w:val="24"/>
                <w:szCs w:val="24"/>
              </w:rPr>
            </w:pPr>
            <w:r w:rsidRPr="002F2925">
              <w:rPr>
                <w:rFonts w:ascii="Times New Roman" w:eastAsia="Arial Unicode MS" w:hAnsi="Times New Roman"/>
                <w:sz w:val="24"/>
                <w:szCs w:val="24"/>
              </w:rPr>
              <w:t>53 г. 8 м.</w:t>
            </w:r>
          </w:p>
        </w:tc>
        <w:tc>
          <w:tcPr>
            <w:tcW w:w="1842" w:type="dxa"/>
            <w:tcBorders>
              <w:top w:val="single" w:sz="4" w:space="0" w:color="auto"/>
              <w:left w:val="single" w:sz="4" w:space="0" w:color="auto"/>
              <w:bottom w:val="single" w:sz="4" w:space="0" w:color="auto"/>
              <w:right w:val="single" w:sz="4" w:space="0" w:color="auto"/>
            </w:tcBorders>
            <w:vAlign w:val="center"/>
            <w:hideMark/>
          </w:tcPr>
          <w:p w14:paraId="3FD8415C" w14:textId="77777777" w:rsidR="002F2925" w:rsidRPr="002F2925" w:rsidRDefault="002F2925" w:rsidP="00E53986">
            <w:pPr>
              <w:spacing w:after="0" w:line="240" w:lineRule="auto"/>
              <w:jc w:val="center"/>
              <w:rPr>
                <w:rFonts w:ascii="Times New Roman" w:eastAsia="Arial Unicode MS" w:hAnsi="Times New Roman"/>
                <w:sz w:val="24"/>
                <w:szCs w:val="24"/>
              </w:rPr>
            </w:pPr>
            <w:r w:rsidRPr="002F2925">
              <w:rPr>
                <w:rFonts w:ascii="Times New Roman" w:eastAsia="Arial Unicode MS" w:hAnsi="Times New Roman"/>
                <w:sz w:val="24"/>
                <w:szCs w:val="24"/>
              </w:rPr>
              <w:t>100</w:t>
            </w:r>
          </w:p>
        </w:tc>
      </w:tr>
      <w:tr w:rsidR="002F2925" w:rsidRPr="002F2925" w14:paraId="3832B084" w14:textId="77777777" w:rsidTr="00981775">
        <w:trPr>
          <w:trHeight w:val="702"/>
        </w:trPr>
        <w:tc>
          <w:tcPr>
            <w:tcW w:w="1228" w:type="dxa"/>
            <w:tcBorders>
              <w:top w:val="single" w:sz="4" w:space="0" w:color="auto"/>
              <w:left w:val="single" w:sz="4" w:space="0" w:color="auto"/>
              <w:bottom w:val="single" w:sz="4" w:space="0" w:color="auto"/>
              <w:right w:val="single" w:sz="4" w:space="0" w:color="auto"/>
            </w:tcBorders>
            <w:vAlign w:val="center"/>
            <w:hideMark/>
          </w:tcPr>
          <w:p w14:paraId="2E56CC2E" w14:textId="77777777" w:rsidR="002F2925" w:rsidRPr="002F2925" w:rsidRDefault="002F2925" w:rsidP="00E53986">
            <w:pPr>
              <w:spacing w:after="0" w:line="240" w:lineRule="auto"/>
              <w:jc w:val="center"/>
              <w:rPr>
                <w:rFonts w:ascii="Times New Roman" w:eastAsia="Arial Unicode MS" w:hAnsi="Times New Roman"/>
                <w:sz w:val="24"/>
                <w:szCs w:val="24"/>
              </w:rPr>
            </w:pPr>
            <w:r w:rsidRPr="002F2925">
              <w:rPr>
                <w:rFonts w:ascii="Times New Roman" w:eastAsia="Arial Unicode MS" w:hAnsi="Times New Roman"/>
                <w:sz w:val="24"/>
                <w:szCs w:val="24"/>
              </w:rPr>
              <w:t>Втора категория</w:t>
            </w:r>
          </w:p>
        </w:tc>
        <w:tc>
          <w:tcPr>
            <w:tcW w:w="1432" w:type="dxa"/>
            <w:tcBorders>
              <w:top w:val="single" w:sz="4" w:space="0" w:color="auto"/>
              <w:left w:val="single" w:sz="4" w:space="0" w:color="auto"/>
              <w:bottom w:val="single" w:sz="4" w:space="0" w:color="auto"/>
              <w:right w:val="single" w:sz="4" w:space="0" w:color="auto"/>
            </w:tcBorders>
            <w:vAlign w:val="center"/>
            <w:hideMark/>
          </w:tcPr>
          <w:p w14:paraId="52E3C425" w14:textId="77777777" w:rsidR="002F2925" w:rsidRPr="002F2925" w:rsidRDefault="002F2925" w:rsidP="00E53986">
            <w:pPr>
              <w:spacing w:after="0" w:line="240" w:lineRule="auto"/>
              <w:jc w:val="center"/>
              <w:rPr>
                <w:rFonts w:ascii="Times New Roman" w:eastAsia="Arial Unicode MS" w:hAnsi="Times New Roman"/>
                <w:sz w:val="24"/>
                <w:szCs w:val="24"/>
              </w:rPr>
            </w:pPr>
            <w:r w:rsidRPr="002F2925">
              <w:rPr>
                <w:rFonts w:ascii="Times New Roman" w:eastAsia="Arial Unicode MS" w:hAnsi="Times New Roman"/>
                <w:sz w:val="24"/>
                <w:szCs w:val="24"/>
              </w:rPr>
              <w:t>15</w:t>
            </w:r>
          </w:p>
        </w:tc>
        <w:tc>
          <w:tcPr>
            <w:tcW w:w="1417" w:type="dxa"/>
            <w:tcBorders>
              <w:top w:val="single" w:sz="4" w:space="0" w:color="auto"/>
              <w:left w:val="single" w:sz="4" w:space="0" w:color="auto"/>
              <w:bottom w:val="single" w:sz="4" w:space="0" w:color="auto"/>
              <w:right w:val="single" w:sz="4" w:space="0" w:color="auto"/>
            </w:tcBorders>
            <w:vAlign w:val="center"/>
            <w:hideMark/>
          </w:tcPr>
          <w:p w14:paraId="06E8AB91" w14:textId="77777777" w:rsidR="002F2925" w:rsidRPr="002F2925" w:rsidRDefault="002F2925" w:rsidP="00E53986">
            <w:pPr>
              <w:spacing w:after="0" w:line="240" w:lineRule="auto"/>
              <w:jc w:val="center"/>
              <w:rPr>
                <w:rFonts w:ascii="Times New Roman" w:eastAsia="Arial Unicode MS" w:hAnsi="Times New Roman"/>
                <w:sz w:val="24"/>
                <w:szCs w:val="24"/>
              </w:rPr>
            </w:pPr>
            <w:r w:rsidRPr="002F2925">
              <w:rPr>
                <w:rFonts w:ascii="Times New Roman" w:eastAsia="Arial Unicode MS" w:hAnsi="Times New Roman"/>
                <w:sz w:val="24"/>
                <w:szCs w:val="24"/>
              </w:rPr>
              <w:t>54 г. 8 м.</w:t>
            </w:r>
          </w:p>
        </w:tc>
        <w:tc>
          <w:tcPr>
            <w:tcW w:w="1843" w:type="dxa"/>
            <w:tcBorders>
              <w:top w:val="single" w:sz="4" w:space="0" w:color="auto"/>
              <w:left w:val="single" w:sz="4" w:space="0" w:color="auto"/>
              <w:bottom w:val="single" w:sz="4" w:space="0" w:color="auto"/>
              <w:right w:val="single" w:sz="4" w:space="0" w:color="auto"/>
            </w:tcBorders>
            <w:vAlign w:val="center"/>
            <w:hideMark/>
          </w:tcPr>
          <w:p w14:paraId="270A9146" w14:textId="77777777" w:rsidR="002F2925" w:rsidRPr="002F2925" w:rsidRDefault="002F2925" w:rsidP="00E53986">
            <w:pPr>
              <w:spacing w:after="0" w:line="240" w:lineRule="auto"/>
              <w:jc w:val="center"/>
              <w:rPr>
                <w:rFonts w:ascii="Times New Roman" w:eastAsia="Arial Unicode MS" w:hAnsi="Times New Roman"/>
                <w:sz w:val="24"/>
                <w:szCs w:val="24"/>
              </w:rPr>
            </w:pPr>
            <w:r w:rsidRPr="002F2925">
              <w:rPr>
                <w:rFonts w:ascii="Times New Roman" w:eastAsia="Arial Unicode MS" w:hAnsi="Times New Roman"/>
                <w:sz w:val="24"/>
                <w:szCs w:val="24"/>
              </w:rPr>
              <w:t>94</w:t>
            </w:r>
          </w:p>
        </w:tc>
        <w:tc>
          <w:tcPr>
            <w:tcW w:w="1418" w:type="dxa"/>
            <w:tcBorders>
              <w:top w:val="single" w:sz="4" w:space="0" w:color="auto"/>
              <w:left w:val="single" w:sz="4" w:space="0" w:color="auto"/>
              <w:bottom w:val="single" w:sz="4" w:space="0" w:color="auto"/>
              <w:right w:val="single" w:sz="4" w:space="0" w:color="auto"/>
            </w:tcBorders>
            <w:vAlign w:val="center"/>
            <w:hideMark/>
          </w:tcPr>
          <w:p w14:paraId="5B73FBBA" w14:textId="77777777" w:rsidR="002F2925" w:rsidRPr="002F2925" w:rsidRDefault="002F2925" w:rsidP="00E53986">
            <w:pPr>
              <w:spacing w:after="0" w:line="240" w:lineRule="auto"/>
              <w:jc w:val="center"/>
              <w:rPr>
                <w:rFonts w:ascii="Times New Roman" w:eastAsia="Arial Unicode MS" w:hAnsi="Times New Roman"/>
                <w:sz w:val="24"/>
                <w:szCs w:val="24"/>
              </w:rPr>
            </w:pPr>
            <w:r w:rsidRPr="002F2925">
              <w:rPr>
                <w:rFonts w:ascii="Times New Roman" w:eastAsia="Arial Unicode MS" w:hAnsi="Times New Roman"/>
                <w:sz w:val="24"/>
                <w:szCs w:val="24"/>
              </w:rPr>
              <w:t>58 г. 8 м.</w:t>
            </w:r>
          </w:p>
        </w:tc>
        <w:tc>
          <w:tcPr>
            <w:tcW w:w="1842" w:type="dxa"/>
            <w:tcBorders>
              <w:top w:val="single" w:sz="4" w:space="0" w:color="auto"/>
              <w:left w:val="single" w:sz="4" w:space="0" w:color="auto"/>
              <w:bottom w:val="single" w:sz="4" w:space="0" w:color="auto"/>
              <w:right w:val="single" w:sz="4" w:space="0" w:color="auto"/>
            </w:tcBorders>
            <w:vAlign w:val="center"/>
            <w:hideMark/>
          </w:tcPr>
          <w:p w14:paraId="0B8CEB7C" w14:textId="77777777" w:rsidR="002F2925" w:rsidRPr="002F2925" w:rsidRDefault="002F2925" w:rsidP="00E53986">
            <w:pPr>
              <w:spacing w:after="0" w:line="240" w:lineRule="auto"/>
              <w:jc w:val="center"/>
              <w:rPr>
                <w:rFonts w:ascii="Times New Roman" w:eastAsia="Arial Unicode MS" w:hAnsi="Times New Roman"/>
                <w:sz w:val="24"/>
                <w:szCs w:val="24"/>
              </w:rPr>
            </w:pPr>
            <w:r w:rsidRPr="002F2925">
              <w:rPr>
                <w:rFonts w:ascii="Times New Roman" w:eastAsia="Arial Unicode MS" w:hAnsi="Times New Roman"/>
                <w:sz w:val="24"/>
                <w:szCs w:val="24"/>
              </w:rPr>
              <w:t>100</w:t>
            </w:r>
          </w:p>
        </w:tc>
      </w:tr>
    </w:tbl>
    <w:p w14:paraId="490F2956" w14:textId="77777777" w:rsidR="002F2925" w:rsidRDefault="002F2925" w:rsidP="00E53986">
      <w:pPr>
        <w:spacing w:after="0" w:line="240" w:lineRule="auto"/>
        <w:ind w:firstLine="357"/>
        <w:jc w:val="both"/>
        <w:rPr>
          <w:rFonts w:ascii="Times New Roman" w:hAnsi="Times New Roman"/>
          <w:sz w:val="24"/>
          <w:szCs w:val="24"/>
        </w:rPr>
      </w:pPr>
    </w:p>
    <w:p w14:paraId="2743A5F7" w14:textId="208FD5F0" w:rsidR="002F2925" w:rsidRPr="002F2925" w:rsidRDefault="002F2925" w:rsidP="00E53986">
      <w:pPr>
        <w:spacing w:after="0" w:line="240" w:lineRule="auto"/>
        <w:ind w:firstLine="357"/>
        <w:jc w:val="both"/>
        <w:rPr>
          <w:rFonts w:ascii="Times New Roman" w:eastAsia="Arial Unicode MS" w:hAnsi="Times New Roman"/>
          <w:sz w:val="24"/>
          <w:szCs w:val="24"/>
        </w:rPr>
      </w:pPr>
      <w:r w:rsidRPr="002F2925">
        <w:rPr>
          <w:rFonts w:ascii="Times New Roman" w:hAnsi="Times New Roman"/>
          <w:sz w:val="24"/>
          <w:szCs w:val="24"/>
        </w:rPr>
        <w:t>П</w:t>
      </w:r>
      <w:r w:rsidRPr="002F2925">
        <w:rPr>
          <w:rFonts w:ascii="Times New Roman" w:eastAsia="Arial Unicode MS" w:hAnsi="Times New Roman"/>
          <w:sz w:val="24"/>
          <w:szCs w:val="24"/>
        </w:rPr>
        <w:t xml:space="preserve">олитики </w:t>
      </w:r>
      <w:r w:rsidRPr="002F2925">
        <w:rPr>
          <w:rFonts w:ascii="Times New Roman" w:hAnsi="Times New Roman"/>
          <w:sz w:val="24"/>
          <w:szCs w:val="24"/>
        </w:rPr>
        <w:t>по</w:t>
      </w:r>
      <w:r w:rsidRPr="002F2925">
        <w:rPr>
          <w:rFonts w:ascii="Times New Roman" w:eastAsia="Arial Unicode MS" w:hAnsi="Times New Roman"/>
          <w:sz w:val="24"/>
          <w:szCs w:val="24"/>
        </w:rPr>
        <w:t xml:space="preserve"> отношение на размерите на пенсиите за 2021 г.:</w:t>
      </w:r>
    </w:p>
    <w:p w14:paraId="6942C98C" w14:textId="77777777" w:rsidR="002F2925" w:rsidRPr="002F2925" w:rsidRDefault="002F2925" w:rsidP="00E53986">
      <w:pPr>
        <w:numPr>
          <w:ilvl w:val="0"/>
          <w:numId w:val="3"/>
        </w:numPr>
        <w:spacing w:after="0" w:line="240" w:lineRule="auto"/>
        <w:jc w:val="both"/>
        <w:rPr>
          <w:rFonts w:ascii="Times New Roman" w:hAnsi="Times New Roman"/>
          <w:sz w:val="24"/>
          <w:szCs w:val="24"/>
          <w:lang w:eastAsia="bg-BG"/>
        </w:rPr>
      </w:pPr>
      <w:r w:rsidRPr="002F2925">
        <w:rPr>
          <w:rFonts w:ascii="Times New Roman" w:hAnsi="Times New Roman"/>
          <w:sz w:val="24"/>
          <w:szCs w:val="24"/>
        </w:rPr>
        <w:t>Процентът за всяка година осигурителен стаж в пенсионната формула се запазва на достигнатото през 2019 г. ниво от 1</w:t>
      </w:r>
      <w:r w:rsidRPr="002F2925">
        <w:rPr>
          <w:rFonts w:ascii="Times New Roman" w:hAnsi="Times New Roman"/>
          <w:sz w:val="24"/>
          <w:szCs w:val="24"/>
          <w:lang w:val="en-US"/>
        </w:rPr>
        <w:t>,</w:t>
      </w:r>
      <w:r w:rsidRPr="002F2925">
        <w:rPr>
          <w:rFonts w:ascii="Times New Roman" w:hAnsi="Times New Roman"/>
          <w:sz w:val="24"/>
          <w:szCs w:val="24"/>
        </w:rPr>
        <w:t>2 на сто;</w:t>
      </w:r>
    </w:p>
    <w:p w14:paraId="423AF160" w14:textId="77777777" w:rsidR="002F2925" w:rsidRPr="002F2925" w:rsidRDefault="002F2925" w:rsidP="00E53986">
      <w:pPr>
        <w:numPr>
          <w:ilvl w:val="0"/>
          <w:numId w:val="3"/>
        </w:numPr>
        <w:spacing w:after="0" w:line="240" w:lineRule="auto"/>
        <w:jc w:val="both"/>
        <w:rPr>
          <w:rFonts w:ascii="Times New Roman" w:hAnsi="Times New Roman"/>
          <w:sz w:val="24"/>
          <w:szCs w:val="24"/>
        </w:rPr>
      </w:pPr>
      <w:r w:rsidRPr="002F2925">
        <w:rPr>
          <w:rFonts w:ascii="Times New Roman" w:hAnsi="Times New Roman"/>
          <w:sz w:val="24"/>
          <w:szCs w:val="24"/>
        </w:rPr>
        <w:t xml:space="preserve">От 1 януари 2021 г. минималната пенсия за осигурителен стаж и възраст се увеличава от 250 лв. на 300 лв. (увеличение с 20 на сто); </w:t>
      </w:r>
    </w:p>
    <w:p w14:paraId="6A4AD0D4" w14:textId="77777777" w:rsidR="002F2925" w:rsidRPr="002F2925" w:rsidRDefault="002F2925" w:rsidP="00E53986">
      <w:pPr>
        <w:pStyle w:val="BodyText3"/>
        <w:numPr>
          <w:ilvl w:val="0"/>
          <w:numId w:val="3"/>
        </w:numPr>
        <w:spacing w:after="0"/>
        <w:jc w:val="both"/>
        <w:rPr>
          <w:sz w:val="24"/>
          <w:szCs w:val="24"/>
          <w:lang w:val="bg-BG"/>
        </w:rPr>
      </w:pPr>
      <w:r w:rsidRPr="002F2925">
        <w:rPr>
          <w:sz w:val="24"/>
          <w:szCs w:val="24"/>
          <w:lang w:val="bg-BG"/>
        </w:rPr>
        <w:t xml:space="preserve">От 1 януари 2021 г. максималният размер на получаваните една или повече пенсии се увеличава от 1 200,00 лв. </w:t>
      </w:r>
      <w:r w:rsidRPr="002F2925">
        <w:rPr>
          <w:sz w:val="24"/>
          <w:szCs w:val="24"/>
          <w:lang w:val="ru-RU"/>
        </w:rPr>
        <w:t>на 1440,00 лв.</w:t>
      </w:r>
      <w:r w:rsidRPr="002F2925">
        <w:rPr>
          <w:sz w:val="24"/>
          <w:szCs w:val="24"/>
          <w:lang w:val="bg-BG"/>
        </w:rPr>
        <w:t xml:space="preserve"> (увеличение с 20 на сто);</w:t>
      </w:r>
      <w:r w:rsidRPr="002F2925">
        <w:rPr>
          <w:sz w:val="24"/>
          <w:szCs w:val="24"/>
          <w:lang w:val="ru-RU"/>
        </w:rPr>
        <w:t xml:space="preserve"> </w:t>
      </w:r>
      <w:r w:rsidRPr="002F2925">
        <w:rPr>
          <w:sz w:val="24"/>
          <w:szCs w:val="24"/>
          <w:lang w:val="bg-BG"/>
        </w:rPr>
        <w:t xml:space="preserve"> </w:t>
      </w:r>
    </w:p>
    <w:p w14:paraId="533A56DE" w14:textId="77777777" w:rsidR="002F2925" w:rsidRPr="002F2925" w:rsidRDefault="002F2925" w:rsidP="00E53986">
      <w:pPr>
        <w:pStyle w:val="BodyText3"/>
        <w:numPr>
          <w:ilvl w:val="0"/>
          <w:numId w:val="3"/>
        </w:numPr>
        <w:spacing w:after="0"/>
        <w:jc w:val="both"/>
        <w:rPr>
          <w:sz w:val="24"/>
          <w:szCs w:val="24"/>
          <w:lang w:val="bg-BG"/>
        </w:rPr>
      </w:pPr>
      <w:r w:rsidRPr="002F2925">
        <w:rPr>
          <w:sz w:val="24"/>
          <w:szCs w:val="24"/>
          <w:lang w:val="bg-BG"/>
        </w:rPr>
        <w:t xml:space="preserve">От 1 юли 2021 г. пенсиите за трудова дейност, отпуснати до 31 декември на 2020 г., се осъвременяват с 5% (процент, определен по чл. 100 от КСО); </w:t>
      </w:r>
    </w:p>
    <w:p w14:paraId="0023542D" w14:textId="77777777" w:rsidR="002F2925" w:rsidRPr="002F2925" w:rsidRDefault="002F2925" w:rsidP="00E53986">
      <w:pPr>
        <w:numPr>
          <w:ilvl w:val="0"/>
          <w:numId w:val="3"/>
        </w:numPr>
        <w:spacing w:after="0" w:line="240" w:lineRule="auto"/>
        <w:jc w:val="both"/>
        <w:rPr>
          <w:rFonts w:ascii="Times New Roman" w:hAnsi="Times New Roman"/>
          <w:sz w:val="24"/>
          <w:szCs w:val="24"/>
        </w:rPr>
      </w:pPr>
      <w:r w:rsidRPr="002F2925">
        <w:rPr>
          <w:rFonts w:ascii="Times New Roman" w:hAnsi="Times New Roman"/>
          <w:sz w:val="24"/>
          <w:szCs w:val="24"/>
        </w:rPr>
        <w:t>От 1 юли 2021 г. социалната пенсия за старост се увеличава от 141,63 на 148,71 лв. (увеличение с 5 на сто);</w:t>
      </w:r>
    </w:p>
    <w:p w14:paraId="6660E76F" w14:textId="77777777" w:rsidR="002F2925" w:rsidRPr="002F2925" w:rsidRDefault="002F2925" w:rsidP="00E53986">
      <w:pPr>
        <w:pStyle w:val="BodyText3"/>
        <w:numPr>
          <w:ilvl w:val="0"/>
          <w:numId w:val="3"/>
        </w:numPr>
        <w:spacing w:after="0"/>
        <w:jc w:val="both"/>
        <w:rPr>
          <w:sz w:val="24"/>
          <w:szCs w:val="24"/>
          <w:lang w:val="bg-BG"/>
        </w:rPr>
      </w:pPr>
      <w:r w:rsidRPr="002F2925">
        <w:rPr>
          <w:sz w:val="24"/>
          <w:szCs w:val="24"/>
          <w:lang w:val="bg-BG"/>
        </w:rPr>
        <w:t>През първите три месеца на 2021 г. продължава изплащането на допълнителни суми към пенсиите на всички пенсионери в размер на 50 лв.;</w:t>
      </w:r>
    </w:p>
    <w:p w14:paraId="2E9B8A28" w14:textId="77777777" w:rsidR="002F2925" w:rsidRPr="002F2925" w:rsidRDefault="002F2925" w:rsidP="00E53986">
      <w:pPr>
        <w:spacing w:after="0" w:line="240" w:lineRule="auto"/>
        <w:ind w:left="360"/>
        <w:jc w:val="both"/>
        <w:rPr>
          <w:rFonts w:ascii="Times New Roman" w:hAnsi="Times New Roman"/>
          <w:sz w:val="24"/>
          <w:szCs w:val="24"/>
        </w:rPr>
      </w:pPr>
    </w:p>
    <w:p w14:paraId="200FF9EC" w14:textId="77777777" w:rsidR="002F2925" w:rsidRPr="002F2925" w:rsidRDefault="002F2925" w:rsidP="00E53986">
      <w:pPr>
        <w:pStyle w:val="PlainText"/>
        <w:ind w:firstLine="708"/>
        <w:jc w:val="both"/>
        <w:rPr>
          <w:rFonts w:ascii="Times New Roman" w:hAnsi="Times New Roman"/>
          <w:sz w:val="24"/>
          <w:szCs w:val="24"/>
          <w:lang w:val="bg-BG"/>
        </w:rPr>
      </w:pPr>
      <w:r w:rsidRPr="002F2925">
        <w:rPr>
          <w:rFonts w:ascii="Times New Roman" w:hAnsi="Times New Roman"/>
          <w:sz w:val="24"/>
          <w:szCs w:val="24"/>
          <w:lang w:val="bg-BG"/>
        </w:rPr>
        <w:t xml:space="preserve">При изготвянето на  прогнозата са взети предвид и реализираните през 2020 г. мерки, които доведоха до по-високи размери на пенсиите, но средствата за които не бяха предвидени в ЗБДОО за 2020 г.: </w:t>
      </w:r>
    </w:p>
    <w:p w14:paraId="600D4BE9" w14:textId="5926A0E5" w:rsidR="002F2925" w:rsidRPr="002F2925" w:rsidRDefault="002F2925" w:rsidP="00E53986">
      <w:pPr>
        <w:pStyle w:val="ListParagraph"/>
        <w:numPr>
          <w:ilvl w:val="0"/>
          <w:numId w:val="4"/>
        </w:numPr>
        <w:shd w:val="clear" w:color="auto" w:fill="FFFFFF"/>
        <w:tabs>
          <w:tab w:val="num" w:pos="1560"/>
        </w:tabs>
        <w:contextualSpacing w:val="0"/>
        <w:jc w:val="both"/>
        <w:rPr>
          <w:sz w:val="24"/>
          <w:szCs w:val="24"/>
          <w:lang w:val="bg-BG"/>
        </w:rPr>
      </w:pPr>
      <w:r w:rsidRPr="002F2925">
        <w:rPr>
          <w:sz w:val="24"/>
          <w:szCs w:val="24"/>
          <w:lang w:val="bg-BG"/>
        </w:rPr>
        <w:t>У</w:t>
      </w:r>
      <w:r w:rsidRPr="002F2925">
        <w:rPr>
          <w:sz w:val="24"/>
          <w:szCs w:val="24"/>
          <w:lang w:val="bg-BG"/>
        </w:rPr>
        <w:t xml:space="preserve">величение на минималната пенсия за осигурителен стаж и възраст с процент, по-висок от процента за осъвременяване по чл.100 от КСО, от 219,43 лв. на 250,00 лв. от 1 юли 2020 г. (увеличение с 13,9 на сто); </w:t>
      </w:r>
    </w:p>
    <w:p w14:paraId="6072C91E" w14:textId="031576B9" w:rsidR="002F2925" w:rsidRPr="002F2925" w:rsidRDefault="002F2925" w:rsidP="00E53986">
      <w:pPr>
        <w:pStyle w:val="ListParagraph"/>
        <w:numPr>
          <w:ilvl w:val="0"/>
          <w:numId w:val="4"/>
        </w:numPr>
        <w:shd w:val="clear" w:color="auto" w:fill="FFFFFF"/>
        <w:tabs>
          <w:tab w:val="num" w:pos="1560"/>
        </w:tabs>
        <w:contextualSpacing w:val="0"/>
        <w:jc w:val="both"/>
        <w:rPr>
          <w:sz w:val="24"/>
          <w:szCs w:val="24"/>
          <w:lang w:val="bg-BG"/>
        </w:rPr>
      </w:pPr>
      <w:r w:rsidRPr="002F2925">
        <w:rPr>
          <w:sz w:val="24"/>
          <w:szCs w:val="24"/>
          <w:lang w:val="bg-BG"/>
        </w:rPr>
        <w:t>С</w:t>
      </w:r>
      <w:r w:rsidRPr="002F2925">
        <w:rPr>
          <w:sz w:val="24"/>
          <w:szCs w:val="24"/>
          <w:lang w:val="bg-BG"/>
        </w:rPr>
        <w:t xml:space="preserve">лужебно преизчисляване, считано от 1 април 2020 г. на личните пенсии за трудова дейност на лицата, които имат придобит осигурителен стаж след 31 декември 2018 г., но нямат подадено заявление по чл. 102, ал. 3 от Кодекса за социално осигуряване през 2019 г. и/или заявление по чл. 102, ал. 1 и 3 от Кодекса за социално осигуряване в периода от 1 януари 2020 г. до 13 март 2020 г. (Съгласно §7 от преходните и заключителни разпоредби на Закона за мерките и действията по време на извънредното положение, обявено с решение на </w:t>
      </w:r>
      <w:r>
        <w:rPr>
          <w:sz w:val="24"/>
          <w:szCs w:val="24"/>
          <w:lang w:val="bg-BG"/>
        </w:rPr>
        <w:t>НС</w:t>
      </w:r>
      <w:r w:rsidRPr="002F2925">
        <w:rPr>
          <w:sz w:val="24"/>
          <w:szCs w:val="24"/>
          <w:lang w:val="bg-BG"/>
        </w:rPr>
        <w:t xml:space="preserve"> от 13 март 2020 г.).</w:t>
      </w:r>
    </w:p>
    <w:p w14:paraId="55143793" w14:textId="77777777" w:rsidR="00E53986" w:rsidRDefault="00E53986" w:rsidP="00E53986">
      <w:pPr>
        <w:pStyle w:val="PlainText"/>
        <w:ind w:firstLine="708"/>
        <w:jc w:val="both"/>
        <w:rPr>
          <w:rFonts w:ascii="Times New Roman" w:hAnsi="Times New Roman"/>
          <w:sz w:val="24"/>
          <w:szCs w:val="24"/>
          <w:lang w:val="bg-BG"/>
        </w:rPr>
      </w:pPr>
    </w:p>
    <w:p w14:paraId="54A4AFC1" w14:textId="4384B4AD" w:rsidR="002F2925" w:rsidRDefault="002F2925" w:rsidP="00E53986">
      <w:pPr>
        <w:pStyle w:val="PlainText"/>
        <w:ind w:firstLine="708"/>
        <w:jc w:val="both"/>
        <w:rPr>
          <w:rFonts w:ascii="Times New Roman" w:hAnsi="Times New Roman"/>
          <w:sz w:val="24"/>
          <w:szCs w:val="24"/>
          <w:lang w:val="bg-BG"/>
        </w:rPr>
      </w:pPr>
      <w:r w:rsidRPr="002F2925">
        <w:rPr>
          <w:rFonts w:ascii="Times New Roman" w:hAnsi="Times New Roman"/>
          <w:sz w:val="24"/>
          <w:szCs w:val="24"/>
          <w:lang w:val="bg-BG"/>
        </w:rPr>
        <w:t xml:space="preserve">Посочените по-горе параметри и политики в областта на пенсиите оказват влияние върху </w:t>
      </w:r>
      <w:r w:rsidRPr="002F2925">
        <w:rPr>
          <w:rFonts w:ascii="Times New Roman" w:hAnsi="Times New Roman"/>
          <w:bCs/>
          <w:sz w:val="24"/>
          <w:szCs w:val="24"/>
          <w:lang w:val="bg-BG"/>
        </w:rPr>
        <w:t xml:space="preserve">броя на пенсионерите и размерите на пенсиите, които определят </w:t>
      </w:r>
      <w:r w:rsidRPr="002F2925">
        <w:rPr>
          <w:rFonts w:ascii="Times New Roman" w:hAnsi="Times New Roman"/>
          <w:sz w:val="24"/>
          <w:szCs w:val="24"/>
          <w:lang w:val="bg-BG"/>
        </w:rPr>
        <w:t xml:space="preserve">разходите за пенсии за 2021 г. </w:t>
      </w:r>
    </w:p>
    <w:p w14:paraId="541043C1" w14:textId="77777777" w:rsidR="002F2925" w:rsidRDefault="002F2925" w:rsidP="00E53986">
      <w:pPr>
        <w:pStyle w:val="PlainText"/>
        <w:ind w:firstLine="708"/>
        <w:jc w:val="both"/>
        <w:rPr>
          <w:rFonts w:ascii="Times New Roman" w:hAnsi="Times New Roman"/>
          <w:sz w:val="24"/>
          <w:szCs w:val="24"/>
          <w:lang w:val="bg-BG"/>
        </w:rPr>
      </w:pPr>
      <w:r w:rsidRPr="002F2925">
        <w:rPr>
          <w:rFonts w:ascii="Times New Roman" w:hAnsi="Times New Roman"/>
          <w:sz w:val="24"/>
          <w:szCs w:val="24"/>
          <w:lang w:val="bg-BG"/>
        </w:rPr>
        <w:t>Средният брой на пенсионерите за 20</w:t>
      </w:r>
      <w:r w:rsidRPr="002F2925">
        <w:rPr>
          <w:rFonts w:ascii="Times New Roman" w:hAnsi="Times New Roman"/>
          <w:sz w:val="24"/>
          <w:szCs w:val="24"/>
          <w:lang w:val="en-US"/>
        </w:rPr>
        <w:t>2</w:t>
      </w:r>
      <w:r w:rsidRPr="002F2925">
        <w:rPr>
          <w:rFonts w:ascii="Times New Roman" w:hAnsi="Times New Roman"/>
          <w:sz w:val="24"/>
          <w:szCs w:val="24"/>
          <w:lang w:val="bg-BG"/>
        </w:rPr>
        <w:t>1 г. се очаква да намалее до около 2 104,2 хиляди. По-ниският брой на пенсионерите се обуславя от промените в изискванията за придобиване право на пенсия според КСО.</w:t>
      </w:r>
      <w:r w:rsidRPr="003F24EC">
        <w:rPr>
          <w:rFonts w:ascii="Times New Roman" w:hAnsi="Times New Roman"/>
          <w:sz w:val="24"/>
          <w:szCs w:val="24"/>
          <w:lang w:val="bg-BG"/>
        </w:rPr>
        <w:t xml:space="preserve"> </w:t>
      </w:r>
    </w:p>
    <w:p w14:paraId="27A184F5" w14:textId="66CD2641" w:rsidR="002F2925" w:rsidRDefault="002F2925" w:rsidP="00E53986">
      <w:pPr>
        <w:pStyle w:val="PlainText"/>
        <w:ind w:firstLine="708"/>
        <w:jc w:val="both"/>
        <w:rPr>
          <w:rFonts w:ascii="Times New Roman" w:hAnsi="Times New Roman"/>
          <w:sz w:val="24"/>
          <w:szCs w:val="24"/>
          <w:lang w:val="bg-BG"/>
        </w:rPr>
      </w:pPr>
      <w:r w:rsidRPr="002F2925">
        <w:rPr>
          <w:rFonts w:ascii="Times New Roman" w:hAnsi="Times New Roman"/>
          <w:sz w:val="24"/>
          <w:szCs w:val="24"/>
          <w:lang w:val="bg-BG"/>
        </w:rPr>
        <w:t xml:space="preserve">Средният размер на пенсията на един пенсионер през 2021 г. се предвижда да достигне 488,97 лв. като номиналното нарастване е 18,6 на сто при среден размер по ЗБДОО </w:t>
      </w:r>
      <w:r w:rsidRPr="002F2925">
        <w:rPr>
          <w:rFonts w:ascii="Times New Roman" w:hAnsi="Times New Roman"/>
          <w:sz w:val="24"/>
          <w:szCs w:val="24"/>
          <w:lang w:val="bg-BG"/>
        </w:rPr>
        <w:lastRenderedPageBreak/>
        <w:t>за 2020 г. – 412,28 лв. Очаква се реален ръст на пенсиите от 16,2 на сто през 2021 г., при прогнозирана стойност на средногодишната хармонизирана инфлация за 2021 г. от 2,1 на сто.</w:t>
      </w:r>
    </w:p>
    <w:p w14:paraId="7A7675A1" w14:textId="77777777" w:rsidR="002F2925" w:rsidRPr="002F2925" w:rsidRDefault="002F2925" w:rsidP="00E53986">
      <w:pPr>
        <w:pStyle w:val="BodyText"/>
        <w:spacing w:after="0"/>
        <w:ind w:firstLine="720"/>
        <w:jc w:val="both"/>
        <w:rPr>
          <w:sz w:val="24"/>
          <w:szCs w:val="24"/>
          <w:lang w:val="bg-BG"/>
        </w:rPr>
      </w:pPr>
      <w:r w:rsidRPr="002F2925">
        <w:rPr>
          <w:sz w:val="24"/>
          <w:szCs w:val="24"/>
          <w:lang w:val="bg-BG"/>
        </w:rPr>
        <w:t>Брутният коефициент на заместване на дохода за 2021 г. се очаква да бъде 41,9 на сто, а нетният коефициент се очаква да бъде 54,0 на сто.</w:t>
      </w:r>
    </w:p>
    <w:p w14:paraId="458D2680" w14:textId="538D0E62" w:rsidR="002F2925" w:rsidRPr="002F2925" w:rsidRDefault="002F2925" w:rsidP="00E53986">
      <w:pPr>
        <w:pStyle w:val="BodyText2"/>
        <w:shd w:val="clear" w:color="auto" w:fill="FFFFFF"/>
        <w:spacing w:after="0" w:line="240" w:lineRule="auto"/>
        <w:ind w:firstLine="709"/>
        <w:jc w:val="both"/>
        <w:rPr>
          <w:rFonts w:ascii="Times New Roman" w:hAnsi="Times New Roman"/>
          <w:b/>
          <w:sz w:val="24"/>
          <w:szCs w:val="24"/>
        </w:rPr>
      </w:pPr>
      <w:r w:rsidRPr="002F2925">
        <w:rPr>
          <w:rFonts w:ascii="Times New Roman" w:hAnsi="Times New Roman"/>
          <w:sz w:val="24"/>
          <w:szCs w:val="24"/>
        </w:rPr>
        <w:t>Планираните разходи за пенсии за 202</w:t>
      </w:r>
      <w:r w:rsidRPr="002F2925">
        <w:rPr>
          <w:rFonts w:ascii="Times New Roman" w:hAnsi="Times New Roman"/>
          <w:sz w:val="24"/>
          <w:szCs w:val="24"/>
          <w:lang w:val="en-US"/>
        </w:rPr>
        <w:t>1</w:t>
      </w:r>
      <w:r w:rsidRPr="002F2925">
        <w:rPr>
          <w:rFonts w:ascii="Times New Roman" w:hAnsi="Times New Roman"/>
          <w:sz w:val="24"/>
          <w:szCs w:val="24"/>
        </w:rPr>
        <w:t> г. са 1</w:t>
      </w:r>
      <w:r w:rsidRPr="002F2925">
        <w:rPr>
          <w:rFonts w:ascii="Times New Roman" w:hAnsi="Times New Roman"/>
          <w:sz w:val="24"/>
          <w:szCs w:val="24"/>
          <w:lang w:val="en-US"/>
        </w:rPr>
        <w:t>2</w:t>
      </w:r>
      <w:r w:rsidRPr="002F2925">
        <w:rPr>
          <w:rFonts w:ascii="Times New Roman" w:hAnsi="Times New Roman"/>
          <w:sz w:val="24"/>
          <w:szCs w:val="24"/>
        </w:rPr>
        <w:t> 346,</w:t>
      </w:r>
      <w:r w:rsidRPr="002F2925">
        <w:rPr>
          <w:rFonts w:ascii="Times New Roman" w:hAnsi="Times New Roman"/>
          <w:sz w:val="24"/>
          <w:szCs w:val="24"/>
          <w:lang w:val="en-US"/>
        </w:rPr>
        <w:t>7</w:t>
      </w:r>
      <w:r w:rsidRPr="002F2925">
        <w:rPr>
          <w:rFonts w:ascii="Times New Roman" w:hAnsi="Times New Roman"/>
          <w:sz w:val="24"/>
          <w:szCs w:val="24"/>
        </w:rPr>
        <w:t xml:space="preserve"> млн. лв. В тази сума са включени разходите за пенсии от ДОО и държавния бюджет, както и добавките към пенсиите на ветераните от войните, добавките към пенсиите на репресираните лица по чл. 9 от ЗПГРРЛ, добавката по чл. 4 от ЗУНТОПБГ. Предвидените разходи за 2021 г. са с </w:t>
      </w:r>
      <w:r w:rsidRPr="002F2925">
        <w:rPr>
          <w:rFonts w:ascii="Times New Roman" w:hAnsi="Times New Roman"/>
          <w:sz w:val="24"/>
          <w:szCs w:val="24"/>
          <w:lang w:val="ru-RU"/>
        </w:rPr>
        <w:t>1 770,1</w:t>
      </w:r>
      <w:r w:rsidRPr="002F2925">
        <w:rPr>
          <w:rFonts w:ascii="Times New Roman" w:hAnsi="Times New Roman"/>
          <w:sz w:val="24"/>
          <w:szCs w:val="24"/>
        </w:rPr>
        <w:t xml:space="preserve"> млн. лв. или със 16,7 </w:t>
      </w:r>
      <w:r w:rsidR="00E53986">
        <w:rPr>
          <w:rFonts w:ascii="Times New Roman" w:hAnsi="Times New Roman"/>
          <w:sz w:val="24"/>
          <w:szCs w:val="24"/>
        </w:rPr>
        <w:t>на сто</w:t>
      </w:r>
      <w:r w:rsidRPr="002F2925">
        <w:rPr>
          <w:rFonts w:ascii="Times New Roman" w:hAnsi="Times New Roman"/>
          <w:sz w:val="24"/>
          <w:szCs w:val="24"/>
        </w:rPr>
        <w:t xml:space="preserve"> повече средства за пенсии в сравнение със ЗБДОО за 2020 г. Разликата се дължи основно на предвидени допълнителни средства за:</w:t>
      </w:r>
    </w:p>
    <w:p w14:paraId="530AC63B" w14:textId="77777777" w:rsidR="002F2925" w:rsidRPr="002F2925" w:rsidRDefault="002F2925" w:rsidP="00E53986">
      <w:pPr>
        <w:numPr>
          <w:ilvl w:val="0"/>
          <w:numId w:val="2"/>
        </w:numPr>
        <w:shd w:val="clear" w:color="auto" w:fill="FFFFFF"/>
        <w:tabs>
          <w:tab w:val="clear" w:pos="1428"/>
          <w:tab w:val="num" w:pos="1560"/>
        </w:tabs>
        <w:spacing w:after="0" w:line="240" w:lineRule="auto"/>
        <w:ind w:left="0" w:firstLine="1134"/>
        <w:jc w:val="both"/>
        <w:rPr>
          <w:rFonts w:ascii="Times New Roman" w:hAnsi="Times New Roman"/>
          <w:sz w:val="24"/>
          <w:szCs w:val="24"/>
        </w:rPr>
      </w:pPr>
      <w:r w:rsidRPr="002F2925">
        <w:rPr>
          <w:rFonts w:ascii="Times New Roman" w:hAnsi="Times New Roman"/>
          <w:sz w:val="24"/>
          <w:szCs w:val="24"/>
        </w:rPr>
        <w:t xml:space="preserve">целогодишното изплащане на увеличените от 1 юли 2020 г. с 6,7%  размери на пенсиите за трудова дейност, на социалната пенсия за старост, както и на свързаните  с нея размери на пенсии и добавки – </w:t>
      </w:r>
      <w:r w:rsidRPr="002F2925">
        <w:rPr>
          <w:rFonts w:ascii="Times New Roman" w:hAnsi="Times New Roman"/>
          <w:b/>
          <w:sz w:val="24"/>
          <w:szCs w:val="24"/>
        </w:rPr>
        <w:t>383,2 млн. лв.</w:t>
      </w:r>
      <w:r w:rsidRPr="002F2925">
        <w:rPr>
          <w:rFonts w:ascii="Times New Roman" w:hAnsi="Times New Roman"/>
          <w:sz w:val="24"/>
          <w:szCs w:val="24"/>
        </w:rPr>
        <w:t>;</w:t>
      </w:r>
    </w:p>
    <w:p w14:paraId="5F639515" w14:textId="77777777" w:rsidR="002F2925" w:rsidRPr="002F2925" w:rsidRDefault="002F2925" w:rsidP="00E53986">
      <w:pPr>
        <w:numPr>
          <w:ilvl w:val="0"/>
          <w:numId w:val="2"/>
        </w:numPr>
        <w:shd w:val="clear" w:color="auto" w:fill="FFFFFF"/>
        <w:tabs>
          <w:tab w:val="clear" w:pos="1428"/>
          <w:tab w:val="num" w:pos="1560"/>
        </w:tabs>
        <w:spacing w:after="0" w:line="240" w:lineRule="auto"/>
        <w:ind w:left="0" w:firstLine="1134"/>
        <w:jc w:val="both"/>
        <w:rPr>
          <w:rFonts w:ascii="Times New Roman" w:hAnsi="Times New Roman"/>
          <w:sz w:val="24"/>
          <w:szCs w:val="24"/>
        </w:rPr>
      </w:pPr>
      <w:r w:rsidRPr="002F2925">
        <w:rPr>
          <w:rFonts w:ascii="Times New Roman" w:hAnsi="Times New Roman"/>
          <w:sz w:val="24"/>
          <w:szCs w:val="24"/>
        </w:rPr>
        <w:t xml:space="preserve">целогодишното изплащане на увеличения от 1 юли 2020 г. минимален размер на пенсията за осигурителен стаж и възраст от 219,43 лв. на 250,00 лв. (за увеличението над предвидените 6,7%), както и на свързаните с него минимални размери на пенсиите за трудова дейност –  </w:t>
      </w:r>
      <w:r w:rsidRPr="002F2925">
        <w:rPr>
          <w:rFonts w:ascii="Times New Roman" w:hAnsi="Times New Roman"/>
          <w:b/>
          <w:sz w:val="24"/>
          <w:szCs w:val="24"/>
        </w:rPr>
        <w:t>140,0 млн. лв.</w:t>
      </w:r>
      <w:r w:rsidRPr="002F2925">
        <w:rPr>
          <w:rFonts w:ascii="Times New Roman" w:hAnsi="Times New Roman"/>
          <w:sz w:val="24"/>
          <w:szCs w:val="24"/>
        </w:rPr>
        <w:t xml:space="preserve">; </w:t>
      </w:r>
    </w:p>
    <w:p w14:paraId="0A5B23B2" w14:textId="77777777" w:rsidR="002F2925" w:rsidRPr="002F2925" w:rsidRDefault="002F2925" w:rsidP="00E53986">
      <w:pPr>
        <w:numPr>
          <w:ilvl w:val="0"/>
          <w:numId w:val="2"/>
        </w:numPr>
        <w:shd w:val="clear" w:color="auto" w:fill="FFFFFF"/>
        <w:tabs>
          <w:tab w:val="clear" w:pos="1428"/>
          <w:tab w:val="num" w:pos="1560"/>
        </w:tabs>
        <w:spacing w:after="0" w:line="240" w:lineRule="auto"/>
        <w:ind w:left="0" w:firstLine="1134"/>
        <w:jc w:val="both"/>
        <w:rPr>
          <w:rFonts w:ascii="Times New Roman" w:hAnsi="Times New Roman"/>
          <w:sz w:val="24"/>
          <w:szCs w:val="24"/>
        </w:rPr>
      </w:pPr>
      <w:r w:rsidRPr="002F2925">
        <w:rPr>
          <w:rFonts w:ascii="Times New Roman" w:hAnsi="Times New Roman"/>
          <w:sz w:val="24"/>
          <w:szCs w:val="24"/>
        </w:rPr>
        <w:t xml:space="preserve">увеличението на минималния размер на пенсията за осигурителен стаж и възраст с 20% от 250,00 лв. на 300,00 лв. от 1 януари 2021 г. – </w:t>
      </w:r>
      <w:r w:rsidRPr="002F2925">
        <w:rPr>
          <w:rFonts w:ascii="Times New Roman" w:hAnsi="Times New Roman"/>
          <w:b/>
          <w:sz w:val="24"/>
          <w:szCs w:val="24"/>
        </w:rPr>
        <w:t>47</w:t>
      </w:r>
      <w:r w:rsidRPr="002F2925">
        <w:rPr>
          <w:rFonts w:ascii="Times New Roman" w:hAnsi="Times New Roman"/>
          <w:b/>
          <w:sz w:val="24"/>
          <w:szCs w:val="24"/>
          <w:lang w:val="en-US"/>
        </w:rPr>
        <w:t>4</w:t>
      </w:r>
      <w:r w:rsidRPr="002F2925">
        <w:rPr>
          <w:rFonts w:ascii="Times New Roman" w:hAnsi="Times New Roman"/>
          <w:b/>
          <w:sz w:val="24"/>
          <w:szCs w:val="24"/>
        </w:rPr>
        <w:t>,</w:t>
      </w:r>
      <w:r w:rsidRPr="002F2925">
        <w:rPr>
          <w:rFonts w:ascii="Times New Roman" w:hAnsi="Times New Roman"/>
          <w:b/>
          <w:sz w:val="24"/>
          <w:szCs w:val="24"/>
          <w:lang w:val="en-US"/>
        </w:rPr>
        <w:t>0</w:t>
      </w:r>
      <w:r w:rsidRPr="002F2925">
        <w:rPr>
          <w:rFonts w:ascii="Times New Roman" w:hAnsi="Times New Roman"/>
          <w:b/>
          <w:sz w:val="24"/>
          <w:szCs w:val="24"/>
        </w:rPr>
        <w:t xml:space="preserve"> млн. лв.</w:t>
      </w:r>
      <w:r w:rsidRPr="002F2925">
        <w:rPr>
          <w:rFonts w:ascii="Times New Roman" w:hAnsi="Times New Roman"/>
          <w:sz w:val="24"/>
          <w:szCs w:val="24"/>
        </w:rPr>
        <w:t>;</w:t>
      </w:r>
    </w:p>
    <w:p w14:paraId="657507B4" w14:textId="77777777" w:rsidR="002F2925" w:rsidRPr="002F2925" w:rsidRDefault="002F2925" w:rsidP="00E53986">
      <w:pPr>
        <w:numPr>
          <w:ilvl w:val="0"/>
          <w:numId w:val="2"/>
        </w:numPr>
        <w:shd w:val="clear" w:color="auto" w:fill="FFFFFF"/>
        <w:tabs>
          <w:tab w:val="clear" w:pos="1428"/>
          <w:tab w:val="num" w:pos="1560"/>
        </w:tabs>
        <w:spacing w:after="0" w:line="240" w:lineRule="auto"/>
        <w:ind w:left="0" w:firstLine="1134"/>
        <w:jc w:val="both"/>
        <w:rPr>
          <w:rFonts w:ascii="Times New Roman" w:hAnsi="Times New Roman"/>
          <w:sz w:val="24"/>
          <w:szCs w:val="24"/>
        </w:rPr>
      </w:pPr>
      <w:r w:rsidRPr="002F2925">
        <w:rPr>
          <w:rFonts w:ascii="Times New Roman" w:hAnsi="Times New Roman"/>
          <w:sz w:val="24"/>
          <w:szCs w:val="24"/>
        </w:rPr>
        <w:t xml:space="preserve">увеличението на максималния размер на получаваните една или повече пенсии с 20% от 1200,00 лв. на 1440,00 лв. от 1 януари 2021 г. – </w:t>
      </w:r>
      <w:r w:rsidRPr="002F2925">
        <w:rPr>
          <w:rFonts w:ascii="Times New Roman" w:hAnsi="Times New Roman"/>
          <w:b/>
          <w:sz w:val="24"/>
          <w:szCs w:val="24"/>
        </w:rPr>
        <w:t>94,0 млн. лв.</w:t>
      </w:r>
      <w:r w:rsidRPr="002F2925">
        <w:rPr>
          <w:rFonts w:ascii="Times New Roman" w:hAnsi="Times New Roman"/>
          <w:sz w:val="24"/>
          <w:szCs w:val="24"/>
        </w:rPr>
        <w:t>;</w:t>
      </w:r>
    </w:p>
    <w:p w14:paraId="55B56C64" w14:textId="77777777" w:rsidR="002F2925" w:rsidRPr="002F2925" w:rsidRDefault="002F2925" w:rsidP="00E53986">
      <w:pPr>
        <w:numPr>
          <w:ilvl w:val="0"/>
          <w:numId w:val="2"/>
        </w:numPr>
        <w:shd w:val="clear" w:color="auto" w:fill="FFFFFF"/>
        <w:tabs>
          <w:tab w:val="clear" w:pos="1428"/>
          <w:tab w:val="num" w:pos="1560"/>
        </w:tabs>
        <w:spacing w:after="0" w:line="240" w:lineRule="auto"/>
        <w:ind w:left="0" w:firstLine="1134"/>
        <w:jc w:val="both"/>
        <w:rPr>
          <w:rFonts w:ascii="Times New Roman" w:hAnsi="Times New Roman"/>
          <w:sz w:val="24"/>
          <w:szCs w:val="24"/>
        </w:rPr>
      </w:pPr>
      <w:r w:rsidRPr="002F2925">
        <w:rPr>
          <w:rFonts w:ascii="Times New Roman" w:hAnsi="Times New Roman"/>
          <w:sz w:val="24"/>
          <w:szCs w:val="24"/>
        </w:rPr>
        <w:t xml:space="preserve">осъвременяване на пенсиите за трудова дейност, отпуснати до 31 декември 2020 г., с 5,0%  от 1 юли 2021 г. (процент, определен по чл.100 от КСО) – </w:t>
      </w:r>
      <w:r w:rsidRPr="002F2925">
        <w:rPr>
          <w:rFonts w:ascii="Times New Roman" w:hAnsi="Times New Roman"/>
          <w:b/>
          <w:sz w:val="24"/>
          <w:szCs w:val="24"/>
        </w:rPr>
        <w:t>305,0 млн. лв.</w:t>
      </w:r>
      <w:r w:rsidRPr="002F2925">
        <w:rPr>
          <w:rFonts w:ascii="Times New Roman" w:hAnsi="Times New Roman"/>
          <w:sz w:val="24"/>
          <w:szCs w:val="24"/>
        </w:rPr>
        <w:t>;</w:t>
      </w:r>
    </w:p>
    <w:p w14:paraId="2C0C16AA" w14:textId="77777777" w:rsidR="002F2925" w:rsidRPr="002F2925" w:rsidRDefault="002F2925" w:rsidP="00E53986">
      <w:pPr>
        <w:numPr>
          <w:ilvl w:val="0"/>
          <w:numId w:val="2"/>
        </w:numPr>
        <w:shd w:val="clear" w:color="auto" w:fill="FFFFFF"/>
        <w:tabs>
          <w:tab w:val="clear" w:pos="1428"/>
          <w:tab w:val="num" w:pos="1560"/>
        </w:tabs>
        <w:spacing w:after="0" w:line="240" w:lineRule="auto"/>
        <w:ind w:left="0" w:firstLine="1134"/>
        <w:jc w:val="both"/>
        <w:rPr>
          <w:rFonts w:ascii="Times New Roman" w:hAnsi="Times New Roman"/>
          <w:b/>
          <w:sz w:val="24"/>
          <w:szCs w:val="24"/>
        </w:rPr>
      </w:pPr>
      <w:r w:rsidRPr="002F2925">
        <w:rPr>
          <w:rFonts w:ascii="Times New Roman" w:hAnsi="Times New Roman"/>
          <w:sz w:val="24"/>
          <w:szCs w:val="24"/>
        </w:rPr>
        <w:t xml:space="preserve">изплащане допълнителна сума от 50,00 лв. към пенсията на всеки пенсионер през месеците януари, февруари и март 2021 г. -  </w:t>
      </w:r>
      <w:r w:rsidRPr="002F2925">
        <w:rPr>
          <w:rFonts w:ascii="Times New Roman" w:hAnsi="Times New Roman"/>
          <w:b/>
          <w:sz w:val="24"/>
          <w:szCs w:val="24"/>
        </w:rPr>
        <w:t>315,0 млн. лв.;</w:t>
      </w:r>
    </w:p>
    <w:p w14:paraId="66CE4588" w14:textId="77777777" w:rsidR="002F2925" w:rsidRPr="002F2925" w:rsidRDefault="002F2925" w:rsidP="00E53986">
      <w:pPr>
        <w:numPr>
          <w:ilvl w:val="0"/>
          <w:numId w:val="2"/>
        </w:numPr>
        <w:shd w:val="clear" w:color="auto" w:fill="FFFFFF"/>
        <w:tabs>
          <w:tab w:val="clear" w:pos="1428"/>
          <w:tab w:val="num" w:pos="1560"/>
        </w:tabs>
        <w:spacing w:after="0" w:line="240" w:lineRule="auto"/>
        <w:ind w:left="0" w:firstLine="1134"/>
        <w:jc w:val="both"/>
        <w:rPr>
          <w:rFonts w:ascii="Times New Roman" w:hAnsi="Times New Roman"/>
          <w:sz w:val="24"/>
          <w:szCs w:val="24"/>
        </w:rPr>
      </w:pPr>
      <w:r w:rsidRPr="002F2925">
        <w:rPr>
          <w:rFonts w:ascii="Times New Roman" w:hAnsi="Times New Roman"/>
          <w:sz w:val="24"/>
          <w:szCs w:val="24"/>
        </w:rPr>
        <w:t xml:space="preserve">въведената възможност за избор на методика за определяне на индивидуалния коефициент в периода от 2019 г. до края на 2022 г., съгласно § 22ц от ПЗР на КСО – </w:t>
      </w:r>
      <w:r w:rsidRPr="002F2925">
        <w:rPr>
          <w:rFonts w:ascii="Times New Roman" w:hAnsi="Times New Roman"/>
          <w:b/>
          <w:sz w:val="24"/>
          <w:szCs w:val="24"/>
        </w:rPr>
        <w:t xml:space="preserve">30,0 </w:t>
      </w:r>
      <w:r w:rsidRPr="002F2925">
        <w:rPr>
          <w:rFonts w:ascii="Times New Roman" w:hAnsi="Times New Roman"/>
          <w:b/>
          <w:noProof/>
          <w:sz w:val="24"/>
          <w:szCs w:val="24"/>
        </w:rPr>
        <w:t>млн.лв</w:t>
      </w:r>
      <w:r w:rsidRPr="002F2925">
        <w:rPr>
          <w:rFonts w:ascii="Times New Roman" w:hAnsi="Times New Roman"/>
          <w:b/>
          <w:sz w:val="24"/>
          <w:szCs w:val="24"/>
        </w:rPr>
        <w:t>.;</w:t>
      </w:r>
    </w:p>
    <w:p w14:paraId="124E6114" w14:textId="77777777" w:rsidR="002F2925" w:rsidRPr="002F2925" w:rsidRDefault="002F2925" w:rsidP="00E53986">
      <w:pPr>
        <w:numPr>
          <w:ilvl w:val="0"/>
          <w:numId w:val="2"/>
        </w:numPr>
        <w:shd w:val="clear" w:color="auto" w:fill="FFFFFF"/>
        <w:tabs>
          <w:tab w:val="clear" w:pos="1428"/>
          <w:tab w:val="num" w:pos="1560"/>
        </w:tabs>
        <w:spacing w:after="0" w:line="240" w:lineRule="auto"/>
        <w:ind w:left="0" w:firstLine="1134"/>
        <w:jc w:val="both"/>
        <w:rPr>
          <w:rFonts w:ascii="Times New Roman" w:hAnsi="Times New Roman"/>
          <w:sz w:val="24"/>
          <w:szCs w:val="24"/>
        </w:rPr>
      </w:pPr>
      <w:r w:rsidRPr="002F2925">
        <w:rPr>
          <w:rFonts w:ascii="Times New Roman" w:hAnsi="Times New Roman"/>
          <w:bCs/>
          <w:sz w:val="24"/>
          <w:szCs w:val="24"/>
        </w:rPr>
        <w:t xml:space="preserve">възможността за служебно автоматично преизчисляване на пенсиите с допълнително придобития от пенсионера осигурителен стаж в периода след отпускането, съответно – след последното преизчисляване на пенсията – </w:t>
      </w:r>
      <w:r w:rsidRPr="002F2925">
        <w:rPr>
          <w:rFonts w:ascii="Times New Roman" w:hAnsi="Times New Roman"/>
          <w:b/>
          <w:sz w:val="24"/>
          <w:szCs w:val="24"/>
        </w:rPr>
        <w:t>18,0 млн. лв.</w:t>
      </w:r>
      <w:r w:rsidRPr="002F2925">
        <w:rPr>
          <w:rFonts w:ascii="Times New Roman" w:hAnsi="Times New Roman"/>
          <w:bCs/>
          <w:sz w:val="24"/>
          <w:szCs w:val="24"/>
        </w:rPr>
        <w:t>;</w:t>
      </w:r>
    </w:p>
    <w:p w14:paraId="63EEFA9B" w14:textId="77777777" w:rsidR="002F2925" w:rsidRPr="002F2925" w:rsidRDefault="002F2925" w:rsidP="00E53986">
      <w:pPr>
        <w:numPr>
          <w:ilvl w:val="0"/>
          <w:numId w:val="2"/>
        </w:numPr>
        <w:shd w:val="clear" w:color="auto" w:fill="FFFFFF"/>
        <w:tabs>
          <w:tab w:val="clear" w:pos="1428"/>
          <w:tab w:val="num" w:pos="1560"/>
        </w:tabs>
        <w:spacing w:after="0" w:line="240" w:lineRule="auto"/>
        <w:ind w:left="0" w:firstLine="1134"/>
        <w:jc w:val="both"/>
        <w:rPr>
          <w:rFonts w:ascii="Times New Roman" w:hAnsi="Times New Roman"/>
          <w:sz w:val="24"/>
          <w:szCs w:val="24"/>
        </w:rPr>
      </w:pPr>
      <w:r w:rsidRPr="002F2925">
        <w:rPr>
          <w:rFonts w:ascii="Times New Roman" w:hAnsi="Times New Roman"/>
          <w:sz w:val="24"/>
          <w:szCs w:val="24"/>
        </w:rPr>
        <w:t xml:space="preserve">естествен ръст на разходите за пенсии, дължащ се на по-високите размери на </w:t>
      </w:r>
      <w:r w:rsidRPr="002F2925">
        <w:rPr>
          <w:rFonts w:ascii="Times New Roman" w:hAnsi="Times New Roman"/>
          <w:noProof/>
          <w:sz w:val="24"/>
          <w:szCs w:val="24"/>
        </w:rPr>
        <w:t>новоотпуснатите</w:t>
      </w:r>
      <w:r w:rsidRPr="002F2925">
        <w:rPr>
          <w:rFonts w:ascii="Times New Roman" w:hAnsi="Times New Roman"/>
          <w:sz w:val="24"/>
          <w:szCs w:val="24"/>
        </w:rPr>
        <w:t xml:space="preserve"> пенсии в сравнение с размерите на прекратените, както и на изменението на някои пенсии от по-нисък в по-висок размер – </w:t>
      </w:r>
      <w:r w:rsidRPr="002F2925">
        <w:rPr>
          <w:rFonts w:ascii="Times New Roman" w:hAnsi="Times New Roman"/>
          <w:b/>
          <w:sz w:val="24"/>
          <w:szCs w:val="24"/>
          <w:lang w:val="en-US"/>
        </w:rPr>
        <w:t>22</w:t>
      </w:r>
      <w:r w:rsidRPr="002F2925">
        <w:rPr>
          <w:rFonts w:ascii="Times New Roman" w:hAnsi="Times New Roman"/>
          <w:b/>
          <w:sz w:val="24"/>
          <w:szCs w:val="24"/>
        </w:rPr>
        <w:t>,</w:t>
      </w:r>
      <w:r w:rsidRPr="002F2925">
        <w:rPr>
          <w:rFonts w:ascii="Times New Roman" w:hAnsi="Times New Roman"/>
          <w:b/>
          <w:sz w:val="24"/>
          <w:szCs w:val="24"/>
          <w:lang w:val="en-US"/>
        </w:rPr>
        <w:t>9</w:t>
      </w:r>
      <w:r w:rsidRPr="002F2925">
        <w:rPr>
          <w:rFonts w:ascii="Times New Roman" w:hAnsi="Times New Roman"/>
          <w:b/>
          <w:sz w:val="24"/>
          <w:szCs w:val="24"/>
        </w:rPr>
        <w:t xml:space="preserve"> млн. лв.</w:t>
      </w:r>
    </w:p>
    <w:p w14:paraId="6210EAF1" w14:textId="5AE2D36C" w:rsidR="002F2925" w:rsidRDefault="002F2925" w:rsidP="00E53986">
      <w:pPr>
        <w:shd w:val="clear" w:color="auto" w:fill="FFFFFF"/>
        <w:spacing w:after="0" w:line="240" w:lineRule="auto"/>
        <w:ind w:firstLine="709"/>
        <w:jc w:val="both"/>
        <w:rPr>
          <w:rFonts w:ascii="Times New Roman" w:hAnsi="Times New Roman"/>
          <w:sz w:val="24"/>
          <w:szCs w:val="24"/>
        </w:rPr>
      </w:pPr>
      <w:r w:rsidRPr="002F2925">
        <w:rPr>
          <w:rFonts w:ascii="Times New Roman" w:hAnsi="Times New Roman"/>
          <w:sz w:val="24"/>
          <w:szCs w:val="24"/>
        </w:rPr>
        <w:t xml:space="preserve">Финансовият ефект от промяната в условията за пенсиониране е оценен на около </w:t>
      </w:r>
      <w:r w:rsidRPr="002F2925">
        <w:rPr>
          <w:rFonts w:ascii="Times New Roman" w:hAnsi="Times New Roman"/>
          <w:b/>
          <w:sz w:val="24"/>
          <w:szCs w:val="24"/>
        </w:rPr>
        <w:t>12,0 млн. лв</w:t>
      </w:r>
      <w:r w:rsidRPr="002F2925">
        <w:rPr>
          <w:rFonts w:ascii="Times New Roman" w:hAnsi="Times New Roman"/>
          <w:sz w:val="24"/>
          <w:szCs w:val="24"/>
        </w:rPr>
        <w:t>. намаление на разходите за пенсии.</w:t>
      </w:r>
    </w:p>
    <w:p w14:paraId="4AD5C4FA" w14:textId="70209AA1" w:rsidR="00E53986" w:rsidRDefault="00E53986" w:rsidP="00E53986">
      <w:pPr>
        <w:shd w:val="clear" w:color="auto" w:fill="FFFFFF"/>
        <w:spacing w:after="0" w:line="240" w:lineRule="auto"/>
        <w:ind w:firstLine="709"/>
        <w:jc w:val="both"/>
        <w:rPr>
          <w:rFonts w:ascii="Times New Roman" w:hAnsi="Times New Roman"/>
          <w:sz w:val="24"/>
          <w:szCs w:val="24"/>
        </w:rPr>
      </w:pPr>
      <w:r w:rsidRPr="003F24EC">
        <w:rPr>
          <w:rFonts w:ascii="Times New Roman" w:hAnsi="Times New Roman"/>
          <w:sz w:val="24"/>
          <w:szCs w:val="24"/>
        </w:rPr>
        <w:t xml:space="preserve">Разходът за пенсии през 2021 г. се очаква да бъде около </w:t>
      </w:r>
      <w:r w:rsidRPr="003F24EC">
        <w:rPr>
          <w:rFonts w:ascii="Times New Roman" w:hAnsi="Times New Roman"/>
          <w:b/>
          <w:sz w:val="24"/>
          <w:szCs w:val="24"/>
        </w:rPr>
        <w:t>10,1</w:t>
      </w:r>
      <w:r w:rsidRPr="003F24EC">
        <w:rPr>
          <w:rFonts w:ascii="Times New Roman" w:hAnsi="Times New Roman"/>
          <w:sz w:val="24"/>
          <w:szCs w:val="24"/>
        </w:rPr>
        <w:t xml:space="preserve"> на сто от прогнозния БВП за същата година</w:t>
      </w:r>
      <w:r>
        <w:rPr>
          <w:rFonts w:ascii="Times New Roman" w:hAnsi="Times New Roman"/>
          <w:sz w:val="24"/>
          <w:szCs w:val="24"/>
        </w:rPr>
        <w:t>.</w:t>
      </w:r>
    </w:p>
    <w:p w14:paraId="7B3EC703" w14:textId="77777777" w:rsidR="00E53986" w:rsidRPr="00E53986" w:rsidRDefault="00E53986" w:rsidP="00E53986">
      <w:pPr>
        <w:pStyle w:val="BodyText2"/>
        <w:tabs>
          <w:tab w:val="left" w:pos="1701"/>
        </w:tabs>
        <w:spacing w:after="0" w:line="240" w:lineRule="auto"/>
        <w:ind w:firstLine="709"/>
        <w:jc w:val="both"/>
        <w:rPr>
          <w:rFonts w:ascii="Times New Roman" w:hAnsi="Times New Roman"/>
          <w:b/>
          <w:sz w:val="24"/>
          <w:szCs w:val="24"/>
        </w:rPr>
      </w:pPr>
      <w:r w:rsidRPr="00E53986">
        <w:rPr>
          <w:rFonts w:ascii="Times New Roman" w:hAnsi="Times New Roman"/>
          <w:sz w:val="24"/>
          <w:szCs w:val="24"/>
        </w:rPr>
        <w:t xml:space="preserve">Разходите за краткосрочните обезщетения за 2021 г. са съобразени с отчетените разходи за 2019 г., ЗБДОО за 2020 г., очакваното изпълнение на база месец юли 2020 г., прогнозирания брой на осигурените лица и осигурителния им доход. </w:t>
      </w:r>
    </w:p>
    <w:p w14:paraId="3265C51D" w14:textId="77777777" w:rsidR="00E53986" w:rsidRPr="00E53986" w:rsidRDefault="00E53986" w:rsidP="00E53986">
      <w:pPr>
        <w:pStyle w:val="BodyText2"/>
        <w:tabs>
          <w:tab w:val="left" w:pos="1701"/>
        </w:tabs>
        <w:spacing w:after="0" w:line="240" w:lineRule="auto"/>
        <w:ind w:firstLine="709"/>
        <w:jc w:val="both"/>
        <w:rPr>
          <w:rFonts w:ascii="Times New Roman" w:hAnsi="Times New Roman"/>
          <w:b/>
          <w:sz w:val="24"/>
          <w:szCs w:val="24"/>
        </w:rPr>
      </w:pPr>
      <w:r w:rsidRPr="00E53986">
        <w:rPr>
          <w:rFonts w:ascii="Times New Roman" w:hAnsi="Times New Roman"/>
          <w:sz w:val="24"/>
          <w:szCs w:val="24"/>
        </w:rPr>
        <w:t xml:space="preserve">За 2021 г. общият разход за парични обезщетения и помощи възлиза на 2 038,7 млн. лв., което е с </w:t>
      </w:r>
      <w:r w:rsidRPr="00E53986">
        <w:rPr>
          <w:rFonts w:ascii="Times New Roman" w:hAnsi="Times New Roman"/>
          <w:sz w:val="24"/>
          <w:szCs w:val="24"/>
          <w:lang w:val="en-US"/>
        </w:rPr>
        <w:t>1</w:t>
      </w:r>
      <w:r w:rsidRPr="00E53986">
        <w:rPr>
          <w:rFonts w:ascii="Times New Roman" w:hAnsi="Times New Roman"/>
          <w:sz w:val="24"/>
          <w:szCs w:val="24"/>
        </w:rPr>
        <w:t>,</w:t>
      </w:r>
      <w:r w:rsidRPr="00E53986">
        <w:rPr>
          <w:rFonts w:ascii="Times New Roman" w:hAnsi="Times New Roman"/>
          <w:sz w:val="24"/>
          <w:szCs w:val="24"/>
          <w:lang w:val="en-US"/>
        </w:rPr>
        <w:t>7</w:t>
      </w:r>
      <w:r w:rsidRPr="00E53986">
        <w:rPr>
          <w:rFonts w:ascii="Times New Roman" w:hAnsi="Times New Roman"/>
          <w:sz w:val="24"/>
          <w:szCs w:val="24"/>
        </w:rPr>
        <w:t xml:space="preserve"> на сто повече спрямо очакваното изпълнение на база месец юли 20</w:t>
      </w:r>
      <w:r w:rsidRPr="00E53986">
        <w:rPr>
          <w:rFonts w:ascii="Times New Roman" w:hAnsi="Times New Roman"/>
          <w:sz w:val="24"/>
          <w:szCs w:val="24"/>
          <w:lang w:val="en-US"/>
        </w:rPr>
        <w:t>20</w:t>
      </w:r>
      <w:r w:rsidRPr="00E53986">
        <w:rPr>
          <w:rFonts w:ascii="Times New Roman" w:hAnsi="Times New Roman"/>
          <w:sz w:val="24"/>
          <w:szCs w:val="24"/>
        </w:rPr>
        <w:t xml:space="preserve"> г. </w:t>
      </w:r>
    </w:p>
    <w:p w14:paraId="0547A94E" w14:textId="77777777" w:rsidR="00E53986" w:rsidRPr="00E53986" w:rsidRDefault="00E53986" w:rsidP="00E53986">
      <w:pPr>
        <w:pStyle w:val="BodyTextIndent"/>
        <w:spacing w:after="0"/>
        <w:ind w:left="0" w:firstLine="709"/>
        <w:jc w:val="both"/>
        <w:rPr>
          <w:sz w:val="10"/>
          <w:szCs w:val="10"/>
          <w:lang w:val="bg-BG"/>
        </w:rPr>
      </w:pPr>
    </w:p>
    <w:p w14:paraId="3B28711A" w14:textId="77777777" w:rsidR="00E53986" w:rsidRDefault="00E53986" w:rsidP="00E53986">
      <w:pPr>
        <w:pStyle w:val="BodyTextIndent"/>
        <w:spacing w:after="0"/>
        <w:ind w:left="0" w:firstLine="709"/>
        <w:jc w:val="both"/>
        <w:rPr>
          <w:sz w:val="24"/>
          <w:szCs w:val="24"/>
          <w:lang w:val="bg-BG"/>
        </w:rPr>
      </w:pPr>
    </w:p>
    <w:p w14:paraId="2936B88E" w14:textId="656DAA3A" w:rsidR="00E53986" w:rsidRPr="00E53986" w:rsidRDefault="00E53986" w:rsidP="00E53986">
      <w:pPr>
        <w:pStyle w:val="BodyTextIndent"/>
        <w:spacing w:after="0"/>
        <w:ind w:left="0" w:firstLine="709"/>
        <w:jc w:val="both"/>
        <w:rPr>
          <w:sz w:val="24"/>
          <w:szCs w:val="24"/>
          <w:lang w:val="bg-BG"/>
        </w:rPr>
      </w:pPr>
      <w:r w:rsidRPr="00E53986">
        <w:rPr>
          <w:sz w:val="24"/>
          <w:szCs w:val="24"/>
          <w:lang w:val="bg-BG"/>
        </w:rPr>
        <w:lastRenderedPageBreak/>
        <w:t>Разходите за основните групи краткосрочни обезщетения и парични помощи по КСО са:</w:t>
      </w:r>
    </w:p>
    <w:p w14:paraId="3352E14D" w14:textId="77777777" w:rsidR="00E53986" w:rsidRPr="00E53986" w:rsidRDefault="00E53986" w:rsidP="00E53986">
      <w:pPr>
        <w:numPr>
          <w:ilvl w:val="0"/>
          <w:numId w:val="2"/>
        </w:numPr>
        <w:tabs>
          <w:tab w:val="clear" w:pos="1428"/>
          <w:tab w:val="num" w:pos="1701"/>
        </w:tabs>
        <w:spacing w:after="0" w:line="240" w:lineRule="auto"/>
        <w:ind w:left="0" w:firstLine="1349"/>
        <w:jc w:val="both"/>
        <w:rPr>
          <w:rFonts w:ascii="Times New Roman" w:hAnsi="Times New Roman"/>
          <w:sz w:val="24"/>
          <w:szCs w:val="24"/>
        </w:rPr>
      </w:pPr>
      <w:r w:rsidRPr="00E53986">
        <w:rPr>
          <w:rFonts w:ascii="Times New Roman" w:hAnsi="Times New Roman"/>
          <w:b/>
          <w:sz w:val="24"/>
          <w:szCs w:val="24"/>
        </w:rPr>
        <w:t>обезщетения за временна неработоспособност поради общо заболяване, гледане на болен член от семейството и карантина и нетрудови злополуки</w:t>
      </w:r>
      <w:r w:rsidRPr="00E53986">
        <w:rPr>
          <w:rFonts w:ascii="Times New Roman" w:hAnsi="Times New Roman"/>
          <w:sz w:val="24"/>
          <w:szCs w:val="24"/>
        </w:rPr>
        <w:t xml:space="preserve"> – 63</w:t>
      </w:r>
      <w:r w:rsidRPr="00E53986">
        <w:rPr>
          <w:rFonts w:ascii="Times New Roman" w:hAnsi="Times New Roman"/>
          <w:sz w:val="24"/>
          <w:szCs w:val="24"/>
          <w:lang w:val="en-US"/>
        </w:rPr>
        <w:t>7</w:t>
      </w:r>
      <w:r w:rsidRPr="00E53986">
        <w:rPr>
          <w:rFonts w:ascii="Times New Roman" w:hAnsi="Times New Roman"/>
          <w:sz w:val="24"/>
          <w:szCs w:val="24"/>
        </w:rPr>
        <w:t>,</w:t>
      </w:r>
      <w:r w:rsidRPr="00E53986">
        <w:rPr>
          <w:rFonts w:ascii="Times New Roman" w:hAnsi="Times New Roman"/>
          <w:sz w:val="24"/>
          <w:szCs w:val="24"/>
          <w:lang w:val="en-US"/>
        </w:rPr>
        <w:t>2</w:t>
      </w:r>
      <w:r w:rsidRPr="00E53986">
        <w:rPr>
          <w:rFonts w:ascii="Times New Roman" w:hAnsi="Times New Roman"/>
          <w:sz w:val="24"/>
          <w:szCs w:val="24"/>
        </w:rPr>
        <w:t xml:space="preserve"> млн. лв. Планирани са обезщетения за 1</w:t>
      </w:r>
      <w:r w:rsidRPr="00E53986">
        <w:rPr>
          <w:rFonts w:ascii="Times New Roman" w:hAnsi="Times New Roman"/>
          <w:sz w:val="24"/>
          <w:szCs w:val="24"/>
          <w:lang w:val="en-US"/>
        </w:rPr>
        <w:t>7</w:t>
      </w:r>
      <w:r w:rsidRPr="00E53986">
        <w:rPr>
          <w:rFonts w:ascii="Times New Roman" w:hAnsi="Times New Roman"/>
          <w:sz w:val="24"/>
          <w:szCs w:val="24"/>
        </w:rPr>
        <w:t> </w:t>
      </w:r>
      <w:r w:rsidRPr="00E53986">
        <w:rPr>
          <w:rFonts w:ascii="Times New Roman" w:hAnsi="Times New Roman"/>
          <w:sz w:val="24"/>
          <w:szCs w:val="24"/>
          <w:lang w:val="en-US"/>
        </w:rPr>
        <w:t>891</w:t>
      </w:r>
      <w:r w:rsidRPr="00E53986">
        <w:rPr>
          <w:rFonts w:ascii="Times New Roman" w:hAnsi="Times New Roman"/>
          <w:sz w:val="24"/>
          <w:szCs w:val="24"/>
        </w:rPr>
        <w:t>,</w:t>
      </w:r>
      <w:r w:rsidRPr="00E53986">
        <w:rPr>
          <w:rFonts w:ascii="Times New Roman" w:hAnsi="Times New Roman"/>
          <w:sz w:val="24"/>
          <w:szCs w:val="24"/>
          <w:lang w:val="en-US"/>
        </w:rPr>
        <w:t>7</w:t>
      </w:r>
      <w:r w:rsidRPr="00E53986">
        <w:rPr>
          <w:rFonts w:ascii="Times New Roman" w:hAnsi="Times New Roman"/>
          <w:sz w:val="24"/>
          <w:szCs w:val="24"/>
        </w:rPr>
        <w:t xml:space="preserve"> хиляди дни при </w:t>
      </w:r>
      <w:proofErr w:type="spellStart"/>
      <w:r w:rsidRPr="00E53986">
        <w:rPr>
          <w:rFonts w:ascii="Times New Roman" w:hAnsi="Times New Roman"/>
          <w:sz w:val="24"/>
          <w:szCs w:val="24"/>
        </w:rPr>
        <w:t>среднодневно</w:t>
      </w:r>
      <w:proofErr w:type="spellEnd"/>
      <w:r w:rsidRPr="00E53986">
        <w:rPr>
          <w:rFonts w:ascii="Times New Roman" w:hAnsi="Times New Roman"/>
          <w:sz w:val="24"/>
          <w:szCs w:val="24"/>
        </w:rPr>
        <w:t xml:space="preserve"> обезщетение от 3</w:t>
      </w:r>
      <w:r w:rsidRPr="00E53986">
        <w:rPr>
          <w:rFonts w:ascii="Times New Roman" w:hAnsi="Times New Roman"/>
          <w:sz w:val="24"/>
          <w:szCs w:val="24"/>
          <w:lang w:val="en-US"/>
        </w:rPr>
        <w:t>5</w:t>
      </w:r>
      <w:r w:rsidRPr="00E53986">
        <w:rPr>
          <w:rFonts w:ascii="Times New Roman" w:hAnsi="Times New Roman"/>
          <w:sz w:val="24"/>
          <w:szCs w:val="24"/>
        </w:rPr>
        <w:t>,</w:t>
      </w:r>
      <w:r w:rsidRPr="00E53986">
        <w:rPr>
          <w:rFonts w:ascii="Times New Roman" w:hAnsi="Times New Roman"/>
          <w:sz w:val="24"/>
          <w:szCs w:val="24"/>
          <w:lang w:val="en-US"/>
        </w:rPr>
        <w:t>61</w:t>
      </w:r>
      <w:r w:rsidRPr="00E53986">
        <w:rPr>
          <w:rFonts w:ascii="Times New Roman" w:hAnsi="Times New Roman"/>
          <w:sz w:val="24"/>
          <w:szCs w:val="24"/>
        </w:rPr>
        <w:t xml:space="preserve"> лв.;</w:t>
      </w:r>
    </w:p>
    <w:p w14:paraId="0D9A05EA" w14:textId="47DC9859" w:rsidR="00E53986" w:rsidRPr="00E53986" w:rsidRDefault="00E53986" w:rsidP="00E53986">
      <w:pPr>
        <w:numPr>
          <w:ilvl w:val="0"/>
          <w:numId w:val="2"/>
        </w:numPr>
        <w:tabs>
          <w:tab w:val="clear" w:pos="1428"/>
          <w:tab w:val="num" w:pos="1701"/>
        </w:tabs>
        <w:spacing w:after="0" w:line="240" w:lineRule="auto"/>
        <w:ind w:left="0" w:firstLine="1349"/>
        <w:jc w:val="both"/>
        <w:rPr>
          <w:rFonts w:ascii="Times New Roman" w:hAnsi="Times New Roman"/>
          <w:sz w:val="24"/>
          <w:szCs w:val="24"/>
        </w:rPr>
      </w:pPr>
      <w:r w:rsidRPr="00E53986">
        <w:rPr>
          <w:rFonts w:ascii="Times New Roman" w:hAnsi="Times New Roman"/>
          <w:b/>
          <w:sz w:val="24"/>
          <w:szCs w:val="24"/>
        </w:rPr>
        <w:t>обезщетения за трудова злополука и професионална болест</w:t>
      </w:r>
      <w:r w:rsidRPr="00E53986">
        <w:rPr>
          <w:rFonts w:ascii="Times New Roman" w:hAnsi="Times New Roman"/>
          <w:sz w:val="24"/>
          <w:szCs w:val="24"/>
        </w:rPr>
        <w:t xml:space="preserve"> </w:t>
      </w:r>
      <w:r>
        <w:rPr>
          <w:rFonts w:ascii="Times New Roman" w:hAnsi="Times New Roman"/>
          <w:sz w:val="24"/>
          <w:szCs w:val="24"/>
        </w:rPr>
        <w:t xml:space="preserve">– </w:t>
      </w:r>
      <w:r w:rsidRPr="00E53986">
        <w:rPr>
          <w:rFonts w:ascii="Times New Roman" w:hAnsi="Times New Roman"/>
          <w:sz w:val="24"/>
          <w:szCs w:val="24"/>
        </w:rPr>
        <w:t>1</w:t>
      </w:r>
      <w:r w:rsidRPr="00E53986">
        <w:rPr>
          <w:rFonts w:ascii="Times New Roman" w:hAnsi="Times New Roman"/>
          <w:sz w:val="24"/>
          <w:szCs w:val="24"/>
          <w:lang w:val="en-US"/>
        </w:rPr>
        <w:t>3</w:t>
      </w:r>
      <w:r w:rsidRPr="00E53986">
        <w:rPr>
          <w:rFonts w:ascii="Times New Roman" w:hAnsi="Times New Roman"/>
          <w:sz w:val="24"/>
          <w:szCs w:val="24"/>
        </w:rPr>
        <w:t>,</w:t>
      </w:r>
      <w:r w:rsidRPr="00E53986">
        <w:rPr>
          <w:rFonts w:ascii="Times New Roman" w:hAnsi="Times New Roman"/>
          <w:sz w:val="24"/>
          <w:szCs w:val="24"/>
          <w:lang w:val="en-US"/>
        </w:rPr>
        <w:t>2</w:t>
      </w:r>
      <w:r w:rsidRPr="00E53986">
        <w:rPr>
          <w:rFonts w:ascii="Times New Roman" w:hAnsi="Times New Roman"/>
          <w:sz w:val="24"/>
          <w:szCs w:val="24"/>
        </w:rPr>
        <w:t xml:space="preserve"> млн. лв. Планирани са обезщетения за 28</w:t>
      </w:r>
      <w:r w:rsidRPr="00E53986">
        <w:rPr>
          <w:rFonts w:ascii="Times New Roman" w:hAnsi="Times New Roman"/>
          <w:sz w:val="24"/>
          <w:szCs w:val="24"/>
          <w:lang w:val="en-US"/>
        </w:rPr>
        <w:t>1</w:t>
      </w:r>
      <w:r w:rsidRPr="00E53986">
        <w:rPr>
          <w:rFonts w:ascii="Times New Roman" w:hAnsi="Times New Roman"/>
          <w:sz w:val="24"/>
          <w:szCs w:val="24"/>
        </w:rPr>
        <w:t>,</w:t>
      </w:r>
      <w:r w:rsidRPr="00E53986">
        <w:rPr>
          <w:rFonts w:ascii="Times New Roman" w:hAnsi="Times New Roman"/>
          <w:sz w:val="24"/>
          <w:szCs w:val="24"/>
          <w:lang w:val="en-US"/>
        </w:rPr>
        <w:t>5</w:t>
      </w:r>
      <w:r w:rsidRPr="00E53986">
        <w:rPr>
          <w:rFonts w:ascii="Times New Roman" w:hAnsi="Times New Roman"/>
          <w:sz w:val="24"/>
          <w:szCs w:val="24"/>
        </w:rPr>
        <w:t xml:space="preserve"> хиляди дни за временна неработоспособност поради трудова злополука и професионална болест при </w:t>
      </w:r>
      <w:proofErr w:type="spellStart"/>
      <w:r w:rsidRPr="00E53986">
        <w:rPr>
          <w:rFonts w:ascii="Times New Roman" w:hAnsi="Times New Roman"/>
          <w:sz w:val="24"/>
          <w:szCs w:val="24"/>
        </w:rPr>
        <w:t>среднодневно</w:t>
      </w:r>
      <w:proofErr w:type="spellEnd"/>
      <w:r w:rsidRPr="00E53986">
        <w:rPr>
          <w:rFonts w:ascii="Times New Roman" w:hAnsi="Times New Roman"/>
          <w:sz w:val="24"/>
          <w:szCs w:val="24"/>
        </w:rPr>
        <w:t xml:space="preserve"> обезщетение от 4</w:t>
      </w:r>
      <w:r w:rsidRPr="00E53986">
        <w:rPr>
          <w:rFonts w:ascii="Times New Roman" w:hAnsi="Times New Roman"/>
          <w:sz w:val="24"/>
          <w:szCs w:val="24"/>
          <w:lang w:val="en-US"/>
        </w:rPr>
        <w:t>6</w:t>
      </w:r>
      <w:r w:rsidRPr="00E53986">
        <w:rPr>
          <w:rFonts w:ascii="Times New Roman" w:hAnsi="Times New Roman"/>
          <w:sz w:val="24"/>
          <w:szCs w:val="24"/>
        </w:rPr>
        <w:t>,</w:t>
      </w:r>
      <w:r w:rsidRPr="00E53986">
        <w:rPr>
          <w:rFonts w:ascii="Times New Roman" w:hAnsi="Times New Roman"/>
          <w:sz w:val="24"/>
          <w:szCs w:val="24"/>
          <w:lang w:val="en-US"/>
        </w:rPr>
        <w:t>96</w:t>
      </w:r>
      <w:r w:rsidRPr="00E53986">
        <w:rPr>
          <w:rFonts w:ascii="Times New Roman" w:hAnsi="Times New Roman"/>
          <w:sz w:val="24"/>
          <w:szCs w:val="24"/>
        </w:rPr>
        <w:t xml:space="preserve"> лв.;</w:t>
      </w:r>
    </w:p>
    <w:p w14:paraId="68E1ABA9" w14:textId="77777777" w:rsidR="00E53986" w:rsidRPr="00E53986" w:rsidRDefault="00E53986" w:rsidP="00E53986">
      <w:pPr>
        <w:numPr>
          <w:ilvl w:val="0"/>
          <w:numId w:val="2"/>
        </w:numPr>
        <w:tabs>
          <w:tab w:val="clear" w:pos="1428"/>
          <w:tab w:val="num" w:pos="1701"/>
        </w:tabs>
        <w:spacing w:after="0" w:line="240" w:lineRule="auto"/>
        <w:ind w:left="0" w:firstLine="1349"/>
        <w:jc w:val="both"/>
        <w:rPr>
          <w:rFonts w:ascii="Times New Roman" w:hAnsi="Times New Roman"/>
          <w:sz w:val="24"/>
          <w:szCs w:val="24"/>
        </w:rPr>
      </w:pPr>
      <w:r w:rsidRPr="00E53986">
        <w:rPr>
          <w:rFonts w:ascii="Times New Roman" w:hAnsi="Times New Roman"/>
          <w:b/>
          <w:sz w:val="24"/>
          <w:szCs w:val="24"/>
        </w:rPr>
        <w:t>обезщетения за бременност и раждане</w:t>
      </w:r>
      <w:r w:rsidRPr="00E53986">
        <w:rPr>
          <w:rFonts w:ascii="Times New Roman" w:hAnsi="Times New Roman"/>
          <w:sz w:val="24"/>
          <w:szCs w:val="24"/>
        </w:rPr>
        <w:t xml:space="preserve"> – 4</w:t>
      </w:r>
      <w:r w:rsidRPr="00E53986">
        <w:rPr>
          <w:rFonts w:ascii="Times New Roman" w:hAnsi="Times New Roman"/>
          <w:sz w:val="24"/>
          <w:szCs w:val="24"/>
          <w:lang w:val="en-US"/>
        </w:rPr>
        <w:t>66</w:t>
      </w:r>
      <w:r w:rsidRPr="00E53986">
        <w:rPr>
          <w:rFonts w:ascii="Times New Roman" w:hAnsi="Times New Roman"/>
          <w:sz w:val="24"/>
          <w:szCs w:val="24"/>
        </w:rPr>
        <w:t>,</w:t>
      </w:r>
      <w:r w:rsidRPr="00E53986">
        <w:rPr>
          <w:rFonts w:ascii="Times New Roman" w:hAnsi="Times New Roman"/>
          <w:sz w:val="24"/>
          <w:szCs w:val="24"/>
          <w:lang w:val="en-US"/>
        </w:rPr>
        <w:t>5</w:t>
      </w:r>
      <w:r w:rsidRPr="00E53986">
        <w:rPr>
          <w:rFonts w:ascii="Times New Roman" w:hAnsi="Times New Roman"/>
          <w:sz w:val="24"/>
          <w:szCs w:val="24"/>
        </w:rPr>
        <w:t xml:space="preserve"> млн. лв. Планирани са обезщетения за 13 </w:t>
      </w:r>
      <w:r w:rsidRPr="00E53986">
        <w:rPr>
          <w:rFonts w:ascii="Times New Roman" w:hAnsi="Times New Roman"/>
          <w:sz w:val="24"/>
          <w:szCs w:val="24"/>
          <w:lang w:val="en-US"/>
        </w:rPr>
        <w:t>628</w:t>
      </w:r>
      <w:r w:rsidRPr="00E53986">
        <w:rPr>
          <w:rFonts w:ascii="Times New Roman" w:hAnsi="Times New Roman"/>
          <w:sz w:val="24"/>
          <w:szCs w:val="24"/>
        </w:rPr>
        <w:t>,</w:t>
      </w:r>
      <w:r w:rsidRPr="00E53986">
        <w:rPr>
          <w:rFonts w:ascii="Times New Roman" w:hAnsi="Times New Roman"/>
          <w:sz w:val="24"/>
          <w:szCs w:val="24"/>
          <w:lang w:val="en-US"/>
        </w:rPr>
        <w:t>3</w:t>
      </w:r>
      <w:r w:rsidRPr="00E53986">
        <w:rPr>
          <w:rFonts w:ascii="Times New Roman" w:hAnsi="Times New Roman"/>
          <w:sz w:val="24"/>
          <w:szCs w:val="24"/>
        </w:rPr>
        <w:t xml:space="preserve"> хиляди дни за временна неработоспособност поради бременност и раждане при </w:t>
      </w:r>
      <w:proofErr w:type="spellStart"/>
      <w:r w:rsidRPr="00E53986">
        <w:rPr>
          <w:rFonts w:ascii="Times New Roman" w:hAnsi="Times New Roman"/>
          <w:sz w:val="24"/>
          <w:szCs w:val="24"/>
        </w:rPr>
        <w:t>среднодневно</w:t>
      </w:r>
      <w:proofErr w:type="spellEnd"/>
      <w:r w:rsidRPr="00E53986">
        <w:rPr>
          <w:rFonts w:ascii="Times New Roman" w:hAnsi="Times New Roman"/>
          <w:sz w:val="24"/>
          <w:szCs w:val="24"/>
        </w:rPr>
        <w:t xml:space="preserve"> обезщетение от 34,23 лв.;</w:t>
      </w:r>
    </w:p>
    <w:p w14:paraId="34836170" w14:textId="77777777" w:rsidR="00E53986" w:rsidRPr="00E53986" w:rsidRDefault="00E53986" w:rsidP="00E53986">
      <w:pPr>
        <w:numPr>
          <w:ilvl w:val="0"/>
          <w:numId w:val="2"/>
        </w:numPr>
        <w:tabs>
          <w:tab w:val="clear" w:pos="1428"/>
          <w:tab w:val="num" w:pos="1701"/>
        </w:tabs>
        <w:spacing w:after="0" w:line="240" w:lineRule="auto"/>
        <w:ind w:left="0" w:firstLine="1349"/>
        <w:jc w:val="both"/>
        <w:rPr>
          <w:rFonts w:ascii="Times New Roman" w:hAnsi="Times New Roman"/>
          <w:sz w:val="24"/>
          <w:szCs w:val="24"/>
        </w:rPr>
      </w:pPr>
      <w:r w:rsidRPr="00E53986">
        <w:rPr>
          <w:rFonts w:ascii="Times New Roman" w:hAnsi="Times New Roman"/>
          <w:b/>
          <w:sz w:val="24"/>
          <w:szCs w:val="24"/>
        </w:rPr>
        <w:t>обезщетения за отглеждане на дете до двегодишна възраст</w:t>
      </w:r>
      <w:r w:rsidRPr="00E53986">
        <w:rPr>
          <w:rFonts w:ascii="Times New Roman" w:hAnsi="Times New Roman"/>
          <w:sz w:val="24"/>
          <w:szCs w:val="24"/>
        </w:rPr>
        <w:t xml:space="preserve"> –           182,4 млн. лв. Планираните обезщетения за отглеждане на дете до двегодишна възраст са  10 077,1 хиляди дни при </w:t>
      </w:r>
      <w:proofErr w:type="spellStart"/>
      <w:r w:rsidRPr="00E53986">
        <w:rPr>
          <w:rFonts w:ascii="Times New Roman" w:hAnsi="Times New Roman"/>
          <w:sz w:val="24"/>
          <w:szCs w:val="24"/>
        </w:rPr>
        <w:t>среднодневно</w:t>
      </w:r>
      <w:proofErr w:type="spellEnd"/>
      <w:r w:rsidRPr="00E53986">
        <w:rPr>
          <w:rFonts w:ascii="Times New Roman" w:hAnsi="Times New Roman"/>
          <w:sz w:val="24"/>
          <w:szCs w:val="24"/>
        </w:rPr>
        <w:t xml:space="preserve"> обезщетение от 18,10 лв.;</w:t>
      </w:r>
    </w:p>
    <w:p w14:paraId="2F3DE6DF" w14:textId="77777777" w:rsidR="00E53986" w:rsidRPr="00E53986" w:rsidRDefault="00E53986" w:rsidP="00E53986">
      <w:pPr>
        <w:numPr>
          <w:ilvl w:val="0"/>
          <w:numId w:val="2"/>
        </w:numPr>
        <w:tabs>
          <w:tab w:val="clear" w:pos="1428"/>
          <w:tab w:val="num" w:pos="1701"/>
        </w:tabs>
        <w:spacing w:after="0" w:line="240" w:lineRule="auto"/>
        <w:ind w:left="0" w:firstLine="1349"/>
        <w:jc w:val="both"/>
        <w:rPr>
          <w:rFonts w:ascii="Times New Roman" w:hAnsi="Times New Roman"/>
          <w:sz w:val="24"/>
          <w:szCs w:val="24"/>
        </w:rPr>
      </w:pPr>
      <w:r w:rsidRPr="00E53986">
        <w:rPr>
          <w:rFonts w:ascii="Times New Roman" w:hAnsi="Times New Roman"/>
          <w:b/>
          <w:sz w:val="24"/>
          <w:szCs w:val="24"/>
        </w:rPr>
        <w:t>обезщетения за осиновяване на дете до петгодишна възраст</w:t>
      </w:r>
      <w:r w:rsidRPr="00E53986">
        <w:rPr>
          <w:rFonts w:ascii="Times New Roman" w:hAnsi="Times New Roman"/>
          <w:sz w:val="24"/>
          <w:szCs w:val="24"/>
        </w:rPr>
        <w:t xml:space="preserve"> –             3,0 млн. лв. </w:t>
      </w:r>
    </w:p>
    <w:p w14:paraId="74CEC30A" w14:textId="77777777" w:rsidR="00E53986" w:rsidRPr="00E53986" w:rsidRDefault="00E53986" w:rsidP="00E53986">
      <w:pPr>
        <w:numPr>
          <w:ilvl w:val="0"/>
          <w:numId w:val="2"/>
        </w:numPr>
        <w:tabs>
          <w:tab w:val="clear" w:pos="1428"/>
          <w:tab w:val="num" w:pos="1701"/>
        </w:tabs>
        <w:spacing w:after="0" w:line="240" w:lineRule="auto"/>
        <w:ind w:left="0" w:firstLine="1349"/>
        <w:jc w:val="both"/>
        <w:rPr>
          <w:rFonts w:ascii="Times New Roman" w:hAnsi="Times New Roman"/>
          <w:sz w:val="24"/>
          <w:szCs w:val="24"/>
        </w:rPr>
      </w:pPr>
      <w:r w:rsidRPr="00E53986">
        <w:rPr>
          <w:rFonts w:ascii="Times New Roman" w:hAnsi="Times New Roman"/>
          <w:b/>
          <w:sz w:val="24"/>
          <w:szCs w:val="24"/>
        </w:rPr>
        <w:t>парични обезщетения за безработица</w:t>
      </w:r>
      <w:r w:rsidRPr="00E53986">
        <w:rPr>
          <w:rFonts w:ascii="Times New Roman" w:hAnsi="Times New Roman"/>
          <w:sz w:val="24"/>
          <w:szCs w:val="24"/>
        </w:rPr>
        <w:t xml:space="preserve"> – 711,6 млн. лв. Планираните обезщетения са за 103 398 </w:t>
      </w:r>
      <w:proofErr w:type="spellStart"/>
      <w:r w:rsidRPr="00E53986">
        <w:rPr>
          <w:rFonts w:ascii="Times New Roman" w:hAnsi="Times New Roman"/>
          <w:sz w:val="24"/>
          <w:szCs w:val="24"/>
        </w:rPr>
        <w:t>правоимащи</w:t>
      </w:r>
      <w:proofErr w:type="spellEnd"/>
      <w:r w:rsidRPr="00E53986">
        <w:rPr>
          <w:rFonts w:ascii="Times New Roman" w:hAnsi="Times New Roman"/>
          <w:sz w:val="24"/>
          <w:szCs w:val="24"/>
        </w:rPr>
        <w:t xml:space="preserve"> лица средно за годината, със </w:t>
      </w:r>
      <w:proofErr w:type="spellStart"/>
      <w:r w:rsidRPr="00E53986">
        <w:rPr>
          <w:rFonts w:ascii="Times New Roman" w:hAnsi="Times New Roman"/>
          <w:sz w:val="24"/>
          <w:szCs w:val="24"/>
        </w:rPr>
        <w:t>средномесечен</w:t>
      </w:r>
      <w:proofErr w:type="spellEnd"/>
      <w:r w:rsidRPr="00E53986">
        <w:rPr>
          <w:rFonts w:ascii="Times New Roman" w:hAnsi="Times New Roman"/>
          <w:sz w:val="24"/>
          <w:szCs w:val="24"/>
        </w:rPr>
        <w:t xml:space="preserve"> размер на обезщетението от 573,52 лв.</w:t>
      </w:r>
    </w:p>
    <w:p w14:paraId="3B1D4228" w14:textId="4A19C5C1" w:rsidR="00E53986" w:rsidRPr="00E53986" w:rsidRDefault="00E53986" w:rsidP="00E53986">
      <w:pPr>
        <w:numPr>
          <w:ilvl w:val="0"/>
          <w:numId w:val="2"/>
        </w:numPr>
        <w:tabs>
          <w:tab w:val="clear" w:pos="1428"/>
          <w:tab w:val="num" w:pos="1701"/>
        </w:tabs>
        <w:spacing w:after="0" w:line="240" w:lineRule="auto"/>
        <w:ind w:left="0" w:firstLine="1349"/>
        <w:jc w:val="both"/>
        <w:rPr>
          <w:rFonts w:ascii="Times New Roman" w:hAnsi="Times New Roman"/>
          <w:b/>
          <w:bCs/>
          <w:sz w:val="24"/>
          <w:szCs w:val="24"/>
        </w:rPr>
      </w:pPr>
      <w:r w:rsidRPr="00E53986">
        <w:rPr>
          <w:rFonts w:ascii="Times New Roman" w:hAnsi="Times New Roman"/>
          <w:b/>
          <w:sz w:val="24"/>
          <w:szCs w:val="24"/>
        </w:rPr>
        <w:t>финансиране на дейността по профилактика и рехабилитация</w:t>
      </w:r>
      <w:r w:rsidRPr="00E53986">
        <w:rPr>
          <w:rFonts w:ascii="Times New Roman" w:hAnsi="Times New Roman"/>
          <w:sz w:val="24"/>
          <w:szCs w:val="24"/>
        </w:rPr>
        <w:t xml:space="preserve"> – </w:t>
      </w:r>
      <w:r w:rsidRPr="00E53986">
        <w:rPr>
          <w:rFonts w:ascii="Times New Roman" w:hAnsi="Times New Roman"/>
          <w:sz w:val="24"/>
          <w:szCs w:val="24"/>
        </w:rPr>
        <w:br/>
        <w:t>22,1 млн. лв.</w:t>
      </w:r>
    </w:p>
    <w:p w14:paraId="59C451EE" w14:textId="5B8808FA" w:rsidR="00E53986" w:rsidRPr="00E53986" w:rsidRDefault="00E53986" w:rsidP="00E53986">
      <w:pPr>
        <w:tabs>
          <w:tab w:val="num" w:pos="1701"/>
        </w:tabs>
        <w:spacing w:after="0" w:line="240" w:lineRule="auto"/>
        <w:jc w:val="both"/>
        <w:rPr>
          <w:rFonts w:ascii="Times New Roman" w:hAnsi="Times New Roman"/>
          <w:b/>
          <w:bCs/>
          <w:sz w:val="24"/>
          <w:szCs w:val="24"/>
        </w:rPr>
      </w:pPr>
    </w:p>
    <w:p w14:paraId="391490C8" w14:textId="5AE9C20A" w:rsidR="00E53986" w:rsidRDefault="00E53986" w:rsidP="00E53986">
      <w:pPr>
        <w:spacing w:after="0" w:line="240" w:lineRule="auto"/>
        <w:ind w:firstLine="708"/>
        <w:jc w:val="both"/>
        <w:rPr>
          <w:rFonts w:ascii="Times New Roman" w:hAnsi="Times New Roman"/>
          <w:sz w:val="24"/>
          <w:szCs w:val="24"/>
        </w:rPr>
      </w:pPr>
      <w:r w:rsidRPr="00E53986">
        <w:rPr>
          <w:rFonts w:ascii="Times New Roman" w:hAnsi="Times New Roman"/>
          <w:sz w:val="24"/>
          <w:szCs w:val="24"/>
        </w:rPr>
        <w:t xml:space="preserve">За продължаване подкрепата от страна на държавата, за засегнатите сектори и икономически дейности от въведените мерки за ограничаване разпространението на COVID-19, през 2021 г. в прогнозата на Дейност “Други програми и дейности за осигуряване на заетост” са планирани 300 000,0 хил. лв. за изплащане на средства на работодатели от засегнатите сектори и икономически дейности, за да запазят заетостта на своите работници и служители, след периода на обявеното извънредно положение и извънредната епидемична обстановка в страната. </w:t>
      </w:r>
    </w:p>
    <w:p w14:paraId="47091B34" w14:textId="77777777" w:rsidR="00E53986" w:rsidRPr="00E53986" w:rsidRDefault="00E53986" w:rsidP="00E53986">
      <w:pPr>
        <w:spacing w:after="0" w:line="240" w:lineRule="auto"/>
        <w:ind w:right="36" w:firstLine="709"/>
        <w:jc w:val="both"/>
        <w:rPr>
          <w:rFonts w:ascii="Times New Roman" w:hAnsi="Times New Roman"/>
          <w:sz w:val="24"/>
          <w:szCs w:val="24"/>
        </w:rPr>
      </w:pPr>
      <w:r w:rsidRPr="00E53986">
        <w:rPr>
          <w:rFonts w:ascii="Times New Roman" w:hAnsi="Times New Roman"/>
          <w:sz w:val="24"/>
          <w:szCs w:val="24"/>
        </w:rPr>
        <w:t>Планираните разходи за дейност “Социално осигуряване” са 147,1 млн. лв. Относителният дял на разходите за дейността, спрямо всички разходи на КБДОО за    2021 г. е 0,99 на сто.</w:t>
      </w:r>
    </w:p>
    <w:p w14:paraId="43656F4F" w14:textId="77777777" w:rsidR="00E53986" w:rsidRPr="00E53986" w:rsidRDefault="00E53986" w:rsidP="00E53986">
      <w:pPr>
        <w:spacing w:after="0" w:line="240" w:lineRule="auto"/>
        <w:ind w:right="36" w:firstLine="709"/>
        <w:jc w:val="both"/>
        <w:rPr>
          <w:rFonts w:ascii="Times New Roman" w:hAnsi="Times New Roman"/>
          <w:sz w:val="24"/>
          <w:szCs w:val="24"/>
        </w:rPr>
      </w:pPr>
      <w:r w:rsidRPr="00E53986">
        <w:rPr>
          <w:rFonts w:ascii="Times New Roman" w:hAnsi="Times New Roman"/>
          <w:sz w:val="24"/>
          <w:szCs w:val="24"/>
        </w:rPr>
        <w:t xml:space="preserve">Разходите за персонал са 91,7 млн. лв. и са разработени при </w:t>
      </w:r>
      <w:proofErr w:type="spellStart"/>
      <w:r w:rsidRPr="00E53986">
        <w:rPr>
          <w:rFonts w:ascii="Times New Roman" w:hAnsi="Times New Roman"/>
          <w:sz w:val="24"/>
          <w:szCs w:val="24"/>
        </w:rPr>
        <w:t>средносписъчен</w:t>
      </w:r>
      <w:proofErr w:type="spellEnd"/>
      <w:r w:rsidRPr="00E53986">
        <w:rPr>
          <w:rFonts w:ascii="Times New Roman" w:hAnsi="Times New Roman"/>
          <w:sz w:val="24"/>
          <w:szCs w:val="24"/>
        </w:rPr>
        <w:t xml:space="preserve"> брой на наетите лица по трудови (833) и служебни (2 634) правоотношения.</w:t>
      </w:r>
    </w:p>
    <w:p w14:paraId="256C063D" w14:textId="77777777" w:rsidR="00E53986" w:rsidRPr="00E53986" w:rsidRDefault="00E53986" w:rsidP="00E53986">
      <w:pPr>
        <w:pStyle w:val="BodyTextIndent"/>
        <w:spacing w:after="0"/>
        <w:ind w:left="0" w:firstLine="720"/>
        <w:jc w:val="both"/>
        <w:rPr>
          <w:rFonts w:eastAsia="Calibri"/>
          <w:sz w:val="24"/>
          <w:szCs w:val="24"/>
          <w:lang w:val="bg-BG"/>
        </w:rPr>
      </w:pPr>
      <w:r w:rsidRPr="00E53986">
        <w:rPr>
          <w:rFonts w:eastAsia="Calibri"/>
          <w:sz w:val="24"/>
          <w:szCs w:val="24"/>
          <w:lang w:val="bg-BG"/>
        </w:rPr>
        <w:t>Разходите за административна издръжка са 48,1 млн. лв.</w:t>
      </w:r>
    </w:p>
    <w:p w14:paraId="3C381226" w14:textId="6B6DA3E4" w:rsidR="00E53986" w:rsidRPr="00E53986" w:rsidRDefault="00E53986" w:rsidP="00E53986">
      <w:pPr>
        <w:pStyle w:val="BodyText2"/>
        <w:spacing w:after="0" w:line="240" w:lineRule="auto"/>
        <w:ind w:firstLine="709"/>
        <w:jc w:val="both"/>
        <w:rPr>
          <w:rFonts w:ascii="Times New Roman" w:hAnsi="Times New Roman"/>
          <w:sz w:val="24"/>
          <w:szCs w:val="24"/>
        </w:rPr>
      </w:pPr>
      <w:r w:rsidRPr="00E53986">
        <w:rPr>
          <w:rFonts w:ascii="Times New Roman" w:hAnsi="Times New Roman"/>
          <w:sz w:val="24"/>
          <w:szCs w:val="24"/>
        </w:rPr>
        <w:t>Проектът на средствата за капиталови разходи за 2021 г.  в размер 6,5 млн. лв.  е</w:t>
      </w:r>
      <w:r>
        <w:rPr>
          <w:rFonts w:ascii="Times New Roman" w:hAnsi="Times New Roman"/>
          <w:sz w:val="24"/>
          <w:szCs w:val="24"/>
        </w:rPr>
        <w:t xml:space="preserve"> </w:t>
      </w:r>
      <w:r w:rsidRPr="00E53986">
        <w:rPr>
          <w:rFonts w:ascii="Times New Roman" w:hAnsi="Times New Roman"/>
          <w:sz w:val="24"/>
          <w:szCs w:val="24"/>
        </w:rPr>
        <w:t xml:space="preserve">съобразен с необходимите действия за стопанисване, управление и обновяване на материалната база. </w:t>
      </w:r>
    </w:p>
    <w:p w14:paraId="683550B8" w14:textId="60669C73" w:rsidR="00E53986" w:rsidRPr="00E53986" w:rsidRDefault="00E53986" w:rsidP="00E53986">
      <w:pPr>
        <w:pStyle w:val="BodyText2"/>
        <w:spacing w:after="0" w:line="240" w:lineRule="auto"/>
        <w:ind w:firstLine="709"/>
        <w:jc w:val="both"/>
        <w:rPr>
          <w:rFonts w:ascii="Times New Roman" w:hAnsi="Times New Roman"/>
          <w:sz w:val="24"/>
          <w:szCs w:val="24"/>
        </w:rPr>
      </w:pPr>
    </w:p>
    <w:p w14:paraId="468A06EB" w14:textId="77777777" w:rsidR="00E53986" w:rsidRPr="00E53986" w:rsidRDefault="00E53986" w:rsidP="00E53986">
      <w:pPr>
        <w:pStyle w:val="BodyTextIndent"/>
        <w:spacing w:after="0"/>
        <w:ind w:left="0" w:firstLine="709"/>
        <w:jc w:val="both"/>
        <w:rPr>
          <w:sz w:val="24"/>
          <w:szCs w:val="24"/>
          <w:lang w:val="bg-BG"/>
        </w:rPr>
      </w:pPr>
      <w:r w:rsidRPr="00E53986">
        <w:rPr>
          <w:sz w:val="24"/>
          <w:szCs w:val="24"/>
          <w:lang w:val="bg-BG"/>
        </w:rPr>
        <w:t>В КБДОО за 2021 г. планираните средства за дейности 282 “Отбранително-мобилизационна подготовка, поддържане на запаси и мощности” и 283 “ Превантивна дейност за намаляване на вредните последствия от бедствия и аварии” са в размер на    192 200 лв. и са предназначени, както следва:</w:t>
      </w:r>
    </w:p>
    <w:p w14:paraId="383838FE" w14:textId="77777777" w:rsidR="00E53986" w:rsidRPr="00E53986" w:rsidRDefault="00E53986" w:rsidP="00E53986">
      <w:pPr>
        <w:numPr>
          <w:ilvl w:val="0"/>
          <w:numId w:val="2"/>
        </w:numPr>
        <w:tabs>
          <w:tab w:val="clear" w:pos="1428"/>
          <w:tab w:val="num" w:pos="1701"/>
        </w:tabs>
        <w:spacing w:after="0" w:line="240" w:lineRule="auto"/>
        <w:ind w:left="0" w:firstLine="1349"/>
        <w:jc w:val="both"/>
        <w:rPr>
          <w:rFonts w:ascii="Times New Roman" w:hAnsi="Times New Roman"/>
          <w:sz w:val="24"/>
          <w:szCs w:val="24"/>
        </w:rPr>
      </w:pPr>
      <w:r w:rsidRPr="00E53986">
        <w:rPr>
          <w:rFonts w:ascii="Times New Roman" w:hAnsi="Times New Roman"/>
          <w:sz w:val="24"/>
          <w:szCs w:val="24"/>
        </w:rPr>
        <w:t xml:space="preserve">по </w:t>
      </w:r>
      <w:r w:rsidRPr="00E53986">
        <w:rPr>
          <w:rFonts w:ascii="Times New Roman" w:hAnsi="Times New Roman"/>
          <w:b/>
          <w:bCs/>
          <w:sz w:val="24"/>
          <w:szCs w:val="24"/>
        </w:rPr>
        <w:t>Дейност 282</w:t>
      </w:r>
      <w:r w:rsidRPr="00E53986">
        <w:rPr>
          <w:rFonts w:ascii="Times New Roman" w:hAnsi="Times New Roman"/>
          <w:sz w:val="24"/>
          <w:szCs w:val="24"/>
        </w:rPr>
        <w:t xml:space="preserve"> са планирани разходи за финансиране на заплати и възнаграждения на персонала и осигурителните вноски за тях (ПМС №258/2005 г.), </w:t>
      </w:r>
      <w:r w:rsidRPr="00E53986">
        <w:rPr>
          <w:rFonts w:ascii="Times New Roman" w:hAnsi="Times New Roman"/>
          <w:sz w:val="24"/>
          <w:szCs w:val="24"/>
        </w:rPr>
        <w:lastRenderedPageBreak/>
        <w:t>издръжка на дейността, закупуване на индивидуални средства за защита и текущ ремонт  в размер на 147 200 лв.</w:t>
      </w:r>
    </w:p>
    <w:p w14:paraId="5FEF3705" w14:textId="77777777" w:rsidR="00E53986" w:rsidRPr="00E53986" w:rsidRDefault="00E53986" w:rsidP="00E53986">
      <w:pPr>
        <w:numPr>
          <w:ilvl w:val="0"/>
          <w:numId w:val="2"/>
        </w:numPr>
        <w:tabs>
          <w:tab w:val="clear" w:pos="1428"/>
          <w:tab w:val="num" w:pos="1701"/>
        </w:tabs>
        <w:spacing w:after="0" w:line="240" w:lineRule="auto"/>
        <w:ind w:left="0" w:firstLine="1349"/>
        <w:jc w:val="both"/>
        <w:rPr>
          <w:rFonts w:ascii="Times New Roman" w:hAnsi="Times New Roman"/>
          <w:sz w:val="24"/>
          <w:szCs w:val="24"/>
        </w:rPr>
      </w:pPr>
      <w:r w:rsidRPr="00E53986">
        <w:rPr>
          <w:rFonts w:ascii="Times New Roman" w:hAnsi="Times New Roman"/>
          <w:sz w:val="24"/>
          <w:szCs w:val="24"/>
        </w:rPr>
        <w:t xml:space="preserve">по </w:t>
      </w:r>
      <w:r w:rsidRPr="00E53986">
        <w:rPr>
          <w:rFonts w:ascii="Times New Roman" w:hAnsi="Times New Roman"/>
          <w:b/>
          <w:bCs/>
          <w:sz w:val="24"/>
          <w:szCs w:val="24"/>
        </w:rPr>
        <w:t>Дейност 283</w:t>
      </w:r>
      <w:r w:rsidRPr="00E53986">
        <w:rPr>
          <w:rFonts w:ascii="Times New Roman" w:hAnsi="Times New Roman"/>
          <w:sz w:val="24"/>
          <w:szCs w:val="24"/>
        </w:rPr>
        <w:t xml:space="preserve"> са планирани общо 45 000 лв. и са предназначени за финансово осигуряване на ресурси за провеждане на превантивни мероприятия и организиране на начални спасителни, възстановителни и други неотложни мероприятия при възникването на бедствия, аварии и катастрофи, засягащи ЦУ и ТП на НОИ.</w:t>
      </w:r>
    </w:p>
    <w:p w14:paraId="4D33B94D" w14:textId="77777777" w:rsidR="005D604D" w:rsidRDefault="005D604D" w:rsidP="00E53986">
      <w:pPr>
        <w:ind w:right="36" w:firstLine="709"/>
        <w:jc w:val="both"/>
        <w:rPr>
          <w:rFonts w:ascii="Times New Roman" w:hAnsi="Times New Roman"/>
          <w:sz w:val="24"/>
          <w:szCs w:val="24"/>
        </w:rPr>
      </w:pPr>
    </w:p>
    <w:p w14:paraId="6B6950B5" w14:textId="02C15057" w:rsidR="00E53986" w:rsidRPr="00E53986" w:rsidRDefault="00E53986" w:rsidP="00E53986">
      <w:pPr>
        <w:ind w:right="36" w:firstLine="709"/>
        <w:jc w:val="both"/>
        <w:rPr>
          <w:rFonts w:ascii="Times New Roman" w:hAnsi="Times New Roman"/>
          <w:sz w:val="24"/>
          <w:szCs w:val="24"/>
        </w:rPr>
      </w:pPr>
      <w:r w:rsidRPr="00E53986">
        <w:rPr>
          <w:rFonts w:ascii="Times New Roman" w:hAnsi="Times New Roman"/>
          <w:sz w:val="24"/>
          <w:szCs w:val="24"/>
        </w:rPr>
        <w:t>По проектобюджетите на отделните фондове за 2021 г. резултатите са следните:</w:t>
      </w:r>
    </w:p>
    <w:p w14:paraId="424A1176" w14:textId="77777777" w:rsidR="00E53986" w:rsidRPr="00E53986" w:rsidRDefault="00E53986" w:rsidP="00E53986">
      <w:pPr>
        <w:numPr>
          <w:ilvl w:val="1"/>
          <w:numId w:val="5"/>
        </w:numPr>
        <w:spacing w:after="0" w:line="240" w:lineRule="auto"/>
        <w:jc w:val="both"/>
        <w:rPr>
          <w:rFonts w:ascii="Times New Roman" w:hAnsi="Times New Roman"/>
          <w:sz w:val="24"/>
          <w:szCs w:val="24"/>
        </w:rPr>
      </w:pPr>
      <w:r w:rsidRPr="00E53986">
        <w:rPr>
          <w:rFonts w:ascii="Times New Roman" w:hAnsi="Times New Roman"/>
          <w:sz w:val="24"/>
          <w:szCs w:val="24"/>
        </w:rPr>
        <w:t>Фонд “Пенсии” – недостиг от 5 448,3 млн. лв.</w:t>
      </w:r>
    </w:p>
    <w:p w14:paraId="2E8CB050" w14:textId="77777777" w:rsidR="00E53986" w:rsidRPr="00E53986" w:rsidRDefault="00E53986" w:rsidP="00E53986">
      <w:pPr>
        <w:numPr>
          <w:ilvl w:val="1"/>
          <w:numId w:val="5"/>
        </w:numPr>
        <w:spacing w:after="0" w:line="240" w:lineRule="auto"/>
        <w:jc w:val="both"/>
        <w:rPr>
          <w:rFonts w:ascii="Times New Roman" w:hAnsi="Times New Roman"/>
          <w:sz w:val="24"/>
          <w:szCs w:val="24"/>
        </w:rPr>
      </w:pPr>
      <w:r w:rsidRPr="00E53986">
        <w:rPr>
          <w:rFonts w:ascii="Times New Roman" w:hAnsi="Times New Roman"/>
          <w:sz w:val="24"/>
          <w:szCs w:val="24"/>
        </w:rPr>
        <w:t>Фонд “Пенсии за лицата по чл. 69” – недостиг от 188,7 млн. лв.</w:t>
      </w:r>
    </w:p>
    <w:p w14:paraId="6654BBBC" w14:textId="77777777" w:rsidR="00E53986" w:rsidRPr="00E53986" w:rsidRDefault="00E53986" w:rsidP="00E53986">
      <w:pPr>
        <w:numPr>
          <w:ilvl w:val="1"/>
          <w:numId w:val="5"/>
        </w:numPr>
        <w:spacing w:after="0" w:line="240" w:lineRule="auto"/>
        <w:jc w:val="both"/>
        <w:rPr>
          <w:rFonts w:ascii="Times New Roman" w:hAnsi="Times New Roman"/>
          <w:sz w:val="24"/>
          <w:szCs w:val="24"/>
        </w:rPr>
      </w:pPr>
      <w:r w:rsidRPr="00E53986">
        <w:rPr>
          <w:rFonts w:ascii="Times New Roman" w:hAnsi="Times New Roman"/>
          <w:sz w:val="24"/>
          <w:szCs w:val="24"/>
        </w:rPr>
        <w:t>Фонд “Пенсии, несвързани с трудова дейност” – недостиг от</w:t>
      </w:r>
      <w:r w:rsidRPr="00E53986">
        <w:rPr>
          <w:rFonts w:ascii="Times New Roman" w:hAnsi="Times New Roman"/>
          <w:sz w:val="24"/>
          <w:szCs w:val="24"/>
        </w:rPr>
        <w:br/>
        <w:t>0,02 млн. лв.</w:t>
      </w:r>
    </w:p>
    <w:p w14:paraId="5BB310DC" w14:textId="77777777" w:rsidR="00E53986" w:rsidRPr="00E53986" w:rsidRDefault="00E53986" w:rsidP="00E53986">
      <w:pPr>
        <w:numPr>
          <w:ilvl w:val="1"/>
          <w:numId w:val="5"/>
        </w:numPr>
        <w:spacing w:after="0" w:line="240" w:lineRule="auto"/>
        <w:jc w:val="both"/>
        <w:rPr>
          <w:rFonts w:ascii="Times New Roman" w:hAnsi="Times New Roman"/>
          <w:sz w:val="24"/>
          <w:szCs w:val="24"/>
        </w:rPr>
      </w:pPr>
      <w:r w:rsidRPr="00E53986">
        <w:rPr>
          <w:rFonts w:ascii="Times New Roman" w:hAnsi="Times New Roman"/>
          <w:sz w:val="24"/>
          <w:szCs w:val="24"/>
        </w:rPr>
        <w:t>Фонд “Трудова злополука и професионална болест” – остатък от</w:t>
      </w:r>
      <w:r w:rsidRPr="00E53986">
        <w:rPr>
          <w:rFonts w:ascii="Times New Roman" w:hAnsi="Times New Roman"/>
          <w:sz w:val="24"/>
          <w:szCs w:val="24"/>
        </w:rPr>
        <w:br/>
        <w:t>179,4 млн. лв.</w:t>
      </w:r>
    </w:p>
    <w:p w14:paraId="7F9AA188" w14:textId="77777777" w:rsidR="00E53986" w:rsidRPr="00E53986" w:rsidRDefault="00E53986" w:rsidP="00E53986">
      <w:pPr>
        <w:numPr>
          <w:ilvl w:val="1"/>
          <w:numId w:val="5"/>
        </w:numPr>
        <w:spacing w:after="0" w:line="240" w:lineRule="auto"/>
        <w:jc w:val="both"/>
        <w:rPr>
          <w:rFonts w:ascii="Times New Roman" w:hAnsi="Times New Roman"/>
          <w:sz w:val="24"/>
          <w:szCs w:val="24"/>
        </w:rPr>
      </w:pPr>
      <w:r w:rsidRPr="00E53986">
        <w:rPr>
          <w:rFonts w:ascii="Times New Roman" w:hAnsi="Times New Roman"/>
          <w:sz w:val="24"/>
          <w:szCs w:val="24"/>
        </w:rPr>
        <w:t>Фонд “Общо заболяване и майчинство” – недостиг от 28,0 млн. лв.</w:t>
      </w:r>
    </w:p>
    <w:p w14:paraId="6A33E7E6" w14:textId="77777777" w:rsidR="00E53986" w:rsidRPr="00E53986" w:rsidRDefault="00E53986" w:rsidP="00E53986">
      <w:pPr>
        <w:numPr>
          <w:ilvl w:val="1"/>
          <w:numId w:val="5"/>
        </w:numPr>
        <w:spacing w:after="0" w:line="240" w:lineRule="auto"/>
        <w:jc w:val="both"/>
        <w:rPr>
          <w:rFonts w:ascii="Times New Roman" w:hAnsi="Times New Roman"/>
          <w:sz w:val="24"/>
          <w:szCs w:val="24"/>
        </w:rPr>
      </w:pPr>
      <w:r w:rsidRPr="00E53986">
        <w:rPr>
          <w:rFonts w:ascii="Times New Roman" w:hAnsi="Times New Roman"/>
          <w:sz w:val="24"/>
          <w:szCs w:val="24"/>
        </w:rPr>
        <w:t>Фонд “Безработица” – недостиг от 355,0 млн. лв.</w:t>
      </w:r>
    </w:p>
    <w:p w14:paraId="64544861" w14:textId="77777777" w:rsidR="00E53986" w:rsidRPr="00E53986" w:rsidRDefault="00E53986" w:rsidP="00E53986">
      <w:pPr>
        <w:numPr>
          <w:ilvl w:val="1"/>
          <w:numId w:val="5"/>
        </w:numPr>
        <w:spacing w:after="0" w:line="240" w:lineRule="auto"/>
        <w:jc w:val="both"/>
        <w:rPr>
          <w:rFonts w:ascii="Times New Roman" w:hAnsi="Times New Roman"/>
          <w:sz w:val="24"/>
          <w:szCs w:val="24"/>
        </w:rPr>
      </w:pPr>
      <w:r w:rsidRPr="00E53986">
        <w:rPr>
          <w:rFonts w:ascii="Times New Roman" w:hAnsi="Times New Roman"/>
          <w:sz w:val="24"/>
          <w:szCs w:val="24"/>
        </w:rPr>
        <w:t>Бюджет на НОИ – остатък от 5 840,6 млн. лв.</w:t>
      </w:r>
    </w:p>
    <w:p w14:paraId="6F1138EA" w14:textId="77777777" w:rsidR="005D604D" w:rsidRDefault="005D604D" w:rsidP="005D604D">
      <w:pPr>
        <w:ind w:right="36" w:firstLine="567"/>
        <w:jc w:val="both"/>
        <w:rPr>
          <w:rFonts w:ascii="Times New Roman" w:hAnsi="Times New Roman"/>
          <w:sz w:val="24"/>
          <w:szCs w:val="24"/>
        </w:rPr>
      </w:pPr>
    </w:p>
    <w:p w14:paraId="40EBB7AE" w14:textId="76247108" w:rsidR="00E53986" w:rsidRPr="00E53986" w:rsidRDefault="00E53986" w:rsidP="005D604D">
      <w:pPr>
        <w:ind w:right="36" w:firstLine="720"/>
        <w:jc w:val="both"/>
        <w:rPr>
          <w:rFonts w:ascii="Times New Roman" w:hAnsi="Times New Roman"/>
          <w:sz w:val="24"/>
          <w:szCs w:val="24"/>
        </w:rPr>
      </w:pPr>
      <w:r w:rsidRPr="00E53986">
        <w:rPr>
          <w:rFonts w:ascii="Times New Roman" w:hAnsi="Times New Roman"/>
          <w:sz w:val="24"/>
          <w:szCs w:val="24"/>
        </w:rPr>
        <w:t>Общият резултат по фондовете и по бюджета на НОИ се балансира на нула.</w:t>
      </w:r>
    </w:p>
    <w:p w14:paraId="45A4F058" w14:textId="77777777" w:rsidR="0028472C" w:rsidRDefault="0028472C" w:rsidP="0028472C">
      <w:pPr>
        <w:spacing w:after="0" w:line="240" w:lineRule="auto"/>
        <w:ind w:firstLine="567"/>
        <w:jc w:val="both"/>
        <w:rPr>
          <w:rFonts w:ascii="Times New Roman" w:hAnsi="Times New Roman"/>
          <w:color w:val="000000"/>
          <w:sz w:val="24"/>
          <w:szCs w:val="24"/>
        </w:rPr>
      </w:pPr>
      <w:r>
        <w:rPr>
          <w:rFonts w:ascii="Times New Roman" w:hAnsi="Times New Roman"/>
          <w:color w:val="000000"/>
          <w:sz w:val="24"/>
          <w:szCs w:val="24"/>
        </w:rPr>
        <w:t>Предложените промени в Кодекса за социално осигуряване (КСО) могат да се обособят в няколко групи:</w:t>
      </w:r>
    </w:p>
    <w:p w14:paraId="63A5322A" w14:textId="77777777" w:rsidR="0028472C" w:rsidRDefault="0028472C" w:rsidP="0028472C">
      <w:pPr>
        <w:spacing w:after="0" w:line="240" w:lineRule="auto"/>
        <w:ind w:firstLine="567"/>
        <w:jc w:val="both"/>
        <w:rPr>
          <w:rFonts w:ascii="Times New Roman" w:hAnsi="Times New Roman"/>
          <w:color w:val="000000"/>
          <w:sz w:val="24"/>
          <w:szCs w:val="24"/>
        </w:rPr>
      </w:pPr>
      <w:r>
        <w:rPr>
          <w:rFonts w:ascii="Times New Roman" w:hAnsi="Times New Roman"/>
          <w:color w:val="000000"/>
          <w:sz w:val="24"/>
          <w:szCs w:val="24"/>
        </w:rPr>
        <w:t>На първо място измененията се обосновават с необходимостта от обезпечаване на законосъобразното протичане на производствата пред длъжностните лица и органи на Националния осигурителен институт (НОИ).</w:t>
      </w:r>
    </w:p>
    <w:p w14:paraId="53825910" w14:textId="77777777" w:rsidR="0028472C" w:rsidRDefault="0028472C" w:rsidP="0028472C">
      <w:pPr>
        <w:spacing w:after="0" w:line="240" w:lineRule="auto"/>
        <w:ind w:firstLine="567"/>
        <w:jc w:val="both"/>
        <w:rPr>
          <w:rFonts w:ascii="Times New Roman" w:hAnsi="Times New Roman"/>
          <w:color w:val="000000"/>
          <w:sz w:val="24"/>
          <w:szCs w:val="24"/>
        </w:rPr>
      </w:pPr>
      <w:r>
        <w:rPr>
          <w:rFonts w:ascii="Times New Roman" w:hAnsi="Times New Roman"/>
          <w:color w:val="000000"/>
          <w:sz w:val="24"/>
          <w:szCs w:val="24"/>
        </w:rPr>
        <w:t xml:space="preserve">В определени случаи възниква необходимост от изискване на данни или документи за осигурените лица, преминали държавните граници на Република България, които се обработват или съхраняват от Главна дирекция „Гранична полиция“ и Главна дирекция „Национална полиция“. В други случаи за изясняване на </w:t>
      </w:r>
      <w:proofErr w:type="spellStart"/>
      <w:r>
        <w:rPr>
          <w:rFonts w:ascii="Times New Roman" w:hAnsi="Times New Roman"/>
          <w:color w:val="000000"/>
          <w:sz w:val="24"/>
          <w:szCs w:val="24"/>
        </w:rPr>
        <w:t>правнорелевантни</w:t>
      </w:r>
      <w:proofErr w:type="spellEnd"/>
      <w:r>
        <w:rPr>
          <w:rFonts w:ascii="Times New Roman" w:hAnsi="Times New Roman"/>
          <w:color w:val="000000"/>
          <w:sz w:val="24"/>
          <w:szCs w:val="24"/>
        </w:rPr>
        <w:t xml:space="preserve"> факти и обстоятелства е нужно да бъдат предоставени документи, които се съхраняват в Националния архивен фонд. Поради това с изменението на разпоредбата на чл. 33, ал. 6 от КСО изрично е предвидена възможността органите и длъжностните лица на НОИ да изискват и от тези органи предоставянето на данни или документи.</w:t>
      </w:r>
    </w:p>
    <w:p w14:paraId="4A9F928E" w14:textId="77777777" w:rsidR="0028472C" w:rsidRDefault="0028472C" w:rsidP="0028472C">
      <w:pPr>
        <w:spacing w:after="0" w:line="240" w:lineRule="auto"/>
        <w:ind w:firstLine="567"/>
        <w:jc w:val="both"/>
        <w:rPr>
          <w:rFonts w:ascii="Times New Roman" w:hAnsi="Times New Roman"/>
          <w:color w:val="000000"/>
          <w:sz w:val="24"/>
          <w:szCs w:val="24"/>
        </w:rPr>
      </w:pPr>
      <w:r>
        <w:rPr>
          <w:rFonts w:ascii="Times New Roman" w:hAnsi="Times New Roman"/>
          <w:color w:val="000000"/>
          <w:sz w:val="24"/>
          <w:szCs w:val="24"/>
        </w:rPr>
        <w:t xml:space="preserve">На следващо място, в хода на част от производствата се налага извършването на проверки от контролните органи на НОИ или от друг компетентен орган (например от органите по приходите на НАП и от контролните органи на ). Тези проверки са от съществено значение при определяне на правото и размера на паричните обезщетения, помощите и пенсиите, изплащани от държавното обществено осигуряване. В същото време е необходимо да бъде защитен и интересът на </w:t>
      </w:r>
      <w:proofErr w:type="spellStart"/>
      <w:r>
        <w:rPr>
          <w:rFonts w:ascii="Times New Roman" w:hAnsi="Times New Roman"/>
          <w:color w:val="000000"/>
          <w:sz w:val="24"/>
          <w:szCs w:val="24"/>
        </w:rPr>
        <w:t>правоимащите</w:t>
      </w:r>
      <w:proofErr w:type="spellEnd"/>
      <w:r>
        <w:rPr>
          <w:rFonts w:ascii="Times New Roman" w:hAnsi="Times New Roman"/>
          <w:color w:val="000000"/>
          <w:sz w:val="24"/>
          <w:szCs w:val="24"/>
        </w:rPr>
        <w:t xml:space="preserve"> лица, като бъде определен изричен максимален срок за извършване на проверката и произнасяне на длъжностното лице. Поради това с измененията и допълненията на чл. 40, ал. 4, т. 2, чл. 54г, ал. 4, т. 2 и чл. 98, ал. 1, т. 1, б. а) се предвижда спиране на производството в случаите, когато възникне необходимост да бъде извършена проверка от контролен или друг компетентен орган. С оглед защитата на </w:t>
      </w:r>
      <w:proofErr w:type="spellStart"/>
      <w:r>
        <w:rPr>
          <w:rFonts w:ascii="Times New Roman" w:hAnsi="Times New Roman"/>
          <w:color w:val="000000"/>
          <w:sz w:val="24"/>
          <w:szCs w:val="24"/>
        </w:rPr>
        <w:t>правоимащите</w:t>
      </w:r>
      <w:proofErr w:type="spellEnd"/>
      <w:r>
        <w:rPr>
          <w:rFonts w:ascii="Times New Roman" w:hAnsi="Times New Roman"/>
          <w:color w:val="000000"/>
          <w:sz w:val="24"/>
          <w:szCs w:val="24"/>
        </w:rPr>
        <w:t xml:space="preserve"> лица е предвидено, че спирането се извършва до приключване на проверката, но за не повече от 12 месеца.</w:t>
      </w:r>
    </w:p>
    <w:p w14:paraId="66C61FF5" w14:textId="77777777" w:rsidR="0028472C" w:rsidRDefault="0028472C" w:rsidP="0028472C">
      <w:pPr>
        <w:spacing w:after="0" w:line="240" w:lineRule="auto"/>
        <w:ind w:firstLine="567"/>
        <w:jc w:val="both"/>
        <w:rPr>
          <w:rFonts w:ascii="Times New Roman" w:hAnsi="Times New Roman"/>
          <w:color w:val="000000"/>
          <w:sz w:val="24"/>
          <w:szCs w:val="24"/>
        </w:rPr>
      </w:pPr>
      <w:r>
        <w:rPr>
          <w:rFonts w:ascii="Times New Roman" w:hAnsi="Times New Roman"/>
          <w:color w:val="000000"/>
          <w:sz w:val="24"/>
          <w:szCs w:val="24"/>
        </w:rPr>
        <w:lastRenderedPageBreak/>
        <w:t>По аналогични съображения е предвидено създаването на т. 1 в чл. 54г, ал. 4 в случаите, когато е необходимо събиране на доказателства за осигурителен стаж и/или осигурителен доход, придобит при прилагане на разпоредбите на международен договор, по който Република България е страна или на европейските регламенти за координация на системите за социална сигурност.</w:t>
      </w:r>
    </w:p>
    <w:p w14:paraId="59C4FA0E" w14:textId="77777777" w:rsidR="0028472C" w:rsidRDefault="0028472C" w:rsidP="0028472C">
      <w:pPr>
        <w:spacing w:after="0" w:line="240" w:lineRule="auto"/>
        <w:ind w:firstLine="567"/>
        <w:jc w:val="both"/>
        <w:rPr>
          <w:rFonts w:ascii="Times New Roman" w:hAnsi="Times New Roman"/>
          <w:color w:val="000000"/>
          <w:sz w:val="24"/>
          <w:szCs w:val="24"/>
        </w:rPr>
      </w:pPr>
      <w:r>
        <w:rPr>
          <w:rFonts w:ascii="Times New Roman" w:hAnsi="Times New Roman"/>
          <w:color w:val="000000"/>
          <w:sz w:val="24"/>
          <w:szCs w:val="24"/>
        </w:rPr>
        <w:t xml:space="preserve">В част от случаите, в хода на производствата по отпускане и изплащане на пенсиите се установяват данни за извършено престъпление от значение за правото или размера на пенсията. Тогава с оглед препятстване на неправомерно изплащане на средства от фондовете на ДОО, е необходимо производството по отпускане, респективно по изплащане на пенсията да бъде спряно до приключване на наказателното производство. Именно поради това се предлага създаването на нова т. 7 в чл. 95, ал. 1 от КСО, респективно създаването на б. б) в чл. 98, ал. 2 от КСО. Измененията предвиждат, че когато се установят данни за извършено престъпление от значение за правото или размера на пенсията, производството по отпускане, респективно по изплащане на пенсията се спира, а материалите, обосноваващи спирането се изпращат на съответния прокурор. </w:t>
      </w:r>
      <w:r>
        <w:rPr>
          <w:rFonts w:ascii="Times New Roman" w:hAnsi="Times New Roman"/>
          <w:bCs/>
          <w:color w:val="000000"/>
          <w:sz w:val="24"/>
          <w:szCs w:val="24"/>
        </w:rPr>
        <w:t xml:space="preserve">Новосъздадените разпоредби  кореспондират както  с установеното с чл. 108а от КСО задължение за уведомяване на прокуратурата при установени данни за съставени документи с невярно съдържание във връзка с извършени осигурителни плащания, така и с нормата на чл. 34, ал.2 от ДОПК, приложима в производствата по установяване на задължения за данъци и осигурителни вноски. </w:t>
      </w:r>
      <w:r>
        <w:rPr>
          <w:rFonts w:ascii="Times New Roman" w:hAnsi="Times New Roman"/>
          <w:color w:val="000000"/>
          <w:sz w:val="24"/>
          <w:szCs w:val="24"/>
        </w:rPr>
        <w:t xml:space="preserve">Както с оглед защита на </w:t>
      </w:r>
      <w:proofErr w:type="spellStart"/>
      <w:r>
        <w:rPr>
          <w:rFonts w:ascii="Times New Roman" w:hAnsi="Times New Roman"/>
          <w:color w:val="000000"/>
          <w:sz w:val="24"/>
          <w:szCs w:val="24"/>
        </w:rPr>
        <w:t>правоимащите</w:t>
      </w:r>
      <w:proofErr w:type="spellEnd"/>
      <w:r>
        <w:rPr>
          <w:rFonts w:ascii="Times New Roman" w:hAnsi="Times New Roman"/>
          <w:color w:val="000000"/>
          <w:sz w:val="24"/>
          <w:szCs w:val="24"/>
        </w:rPr>
        <w:t xml:space="preserve"> лица, така и с цел препятстване на изплащане на неследващи се суми е предвидено, че след приключване на наказателното производство материалите от него се изпращат на длъжностното лице по пенсионно осигуряване за продължаване на спряното производство.</w:t>
      </w:r>
    </w:p>
    <w:p w14:paraId="74B9D52E" w14:textId="77777777" w:rsidR="0028472C" w:rsidRDefault="0028472C" w:rsidP="0028472C">
      <w:pPr>
        <w:spacing w:after="0" w:line="240" w:lineRule="auto"/>
        <w:ind w:firstLine="567"/>
        <w:jc w:val="both"/>
        <w:rPr>
          <w:rFonts w:ascii="Times New Roman" w:hAnsi="Times New Roman"/>
          <w:color w:val="000000"/>
          <w:sz w:val="24"/>
          <w:szCs w:val="24"/>
        </w:rPr>
      </w:pPr>
      <w:r>
        <w:rPr>
          <w:rFonts w:ascii="Times New Roman" w:hAnsi="Times New Roman"/>
          <w:color w:val="000000"/>
          <w:sz w:val="24"/>
          <w:szCs w:val="24"/>
        </w:rPr>
        <w:t>Предвид създаването на новите текстове, касаещи спиране изплащането на пенсиите са направени изменения в ал. 1 и е отменена ал. 2 на чл. 95 от КСО. Измененията са редакционни, с оглед прецизиране на правната техника.</w:t>
      </w:r>
    </w:p>
    <w:p w14:paraId="18344DB5" w14:textId="77777777" w:rsidR="0028472C" w:rsidRDefault="0028472C" w:rsidP="0028472C">
      <w:pPr>
        <w:spacing w:after="0" w:line="240" w:lineRule="auto"/>
        <w:ind w:firstLine="567"/>
        <w:jc w:val="both"/>
        <w:rPr>
          <w:rFonts w:ascii="Times New Roman" w:hAnsi="Times New Roman"/>
          <w:color w:val="000000"/>
          <w:sz w:val="24"/>
          <w:szCs w:val="24"/>
        </w:rPr>
      </w:pPr>
      <w:r>
        <w:rPr>
          <w:rFonts w:ascii="Times New Roman" w:hAnsi="Times New Roman"/>
          <w:color w:val="000000"/>
          <w:sz w:val="24"/>
          <w:szCs w:val="24"/>
        </w:rPr>
        <w:t xml:space="preserve">Прецизиращи и редакционни са и измененията в чл. 96, ал. 1, по отношение на новата б. а); в чл. 97 и в чл. 98, по отношение на новата ал. 2, т. 2. По-конкретно, с оглед яснота и прецизност, с измененията в чл. 97 се определя датата на възобновяване изплащането на пенсията в зависимост от конкретното основание по чл. 95, ал. 1, по което тя е спряна. Определя се и по чия инициатива започва производството – дали по молба на </w:t>
      </w:r>
      <w:proofErr w:type="spellStart"/>
      <w:r>
        <w:rPr>
          <w:rFonts w:ascii="Times New Roman" w:hAnsi="Times New Roman"/>
          <w:color w:val="000000"/>
          <w:sz w:val="24"/>
          <w:szCs w:val="24"/>
        </w:rPr>
        <w:t>правоимащото</w:t>
      </w:r>
      <w:proofErr w:type="spellEnd"/>
      <w:r>
        <w:rPr>
          <w:rFonts w:ascii="Times New Roman" w:hAnsi="Times New Roman"/>
          <w:color w:val="000000"/>
          <w:sz w:val="24"/>
          <w:szCs w:val="24"/>
        </w:rPr>
        <w:t xml:space="preserve"> лице или служебно от пенсионния орган. С оглед изискванията на правната техника е предложено досегашната ал. 2 на чл. 98 да бъде възпроизведена като т. 2 на ал. 1.</w:t>
      </w:r>
    </w:p>
    <w:p w14:paraId="2995E64E" w14:textId="77777777" w:rsidR="0028472C" w:rsidRDefault="0028472C" w:rsidP="0028472C">
      <w:pPr>
        <w:spacing w:after="0" w:line="240" w:lineRule="auto"/>
        <w:ind w:firstLine="567"/>
        <w:jc w:val="both"/>
        <w:rPr>
          <w:rFonts w:ascii="Times New Roman" w:hAnsi="Times New Roman"/>
          <w:color w:val="000000"/>
          <w:sz w:val="24"/>
          <w:szCs w:val="24"/>
        </w:rPr>
      </w:pPr>
      <w:r>
        <w:rPr>
          <w:rFonts w:ascii="Times New Roman" w:hAnsi="Times New Roman"/>
          <w:color w:val="000000"/>
          <w:sz w:val="24"/>
          <w:szCs w:val="24"/>
        </w:rPr>
        <w:t>Отново по редакционни и прецизиращи съображения е предложено изменение в чл. 98, ал. 3 по отношение на замяната на думите „Явните фактически грешки“ с „Очевидните фактически грешки“.</w:t>
      </w:r>
    </w:p>
    <w:p w14:paraId="76B11819" w14:textId="77777777" w:rsidR="0028472C" w:rsidRDefault="0028472C" w:rsidP="0028472C">
      <w:pPr>
        <w:spacing w:after="0" w:line="240" w:lineRule="auto"/>
        <w:ind w:firstLine="567"/>
        <w:jc w:val="both"/>
        <w:rPr>
          <w:rFonts w:ascii="Times New Roman" w:hAnsi="Times New Roman"/>
          <w:color w:val="000000"/>
          <w:sz w:val="24"/>
          <w:szCs w:val="24"/>
        </w:rPr>
      </w:pPr>
      <w:r>
        <w:rPr>
          <w:rFonts w:ascii="Times New Roman" w:hAnsi="Times New Roman"/>
          <w:color w:val="000000"/>
          <w:sz w:val="24"/>
          <w:szCs w:val="24"/>
        </w:rPr>
        <w:t xml:space="preserve">Аналогично, с оглед яснота и прецизност са предложени изменения в чл. 68а и в чл. 73, ал. 3. </w:t>
      </w:r>
    </w:p>
    <w:p w14:paraId="02F66827" w14:textId="77777777" w:rsidR="0028472C" w:rsidRDefault="0028472C" w:rsidP="0028472C">
      <w:pPr>
        <w:spacing w:after="0" w:line="240" w:lineRule="auto"/>
        <w:ind w:firstLine="567"/>
        <w:jc w:val="both"/>
        <w:rPr>
          <w:rFonts w:ascii="Times New Roman" w:hAnsi="Times New Roman"/>
          <w:color w:val="FF0000"/>
          <w:sz w:val="24"/>
          <w:szCs w:val="24"/>
        </w:rPr>
      </w:pPr>
      <w:r>
        <w:rPr>
          <w:rFonts w:ascii="Times New Roman" w:hAnsi="Times New Roman"/>
          <w:color w:val="000000"/>
          <w:sz w:val="24"/>
          <w:szCs w:val="24"/>
        </w:rPr>
        <w:t xml:space="preserve">С оглед изпълнение на задължението, вменено по силата на § 7 от Преходните и заключителните разпоредби на Закона за мерките и действията по време на извънредното положение, обявено с решение на Народното събрание от 13 март 2020 г. е предложена изцяло нова редакция на чл. 102 от КСО. </w:t>
      </w:r>
    </w:p>
    <w:p w14:paraId="42065764" w14:textId="77777777" w:rsidR="0028472C" w:rsidRDefault="0028472C" w:rsidP="0028472C">
      <w:pPr>
        <w:pStyle w:val="NoSpacing"/>
        <w:ind w:firstLine="567"/>
        <w:jc w:val="both"/>
        <w:rPr>
          <w:rFonts w:ascii="Times New Roman" w:hAnsi="Times New Roman" w:cs="Times New Roman"/>
          <w:iCs/>
          <w:sz w:val="24"/>
          <w:szCs w:val="24"/>
        </w:rPr>
      </w:pPr>
      <w:r>
        <w:rPr>
          <w:rFonts w:ascii="Times New Roman" w:hAnsi="Times New Roman" w:cs="Times New Roman"/>
          <w:iCs/>
          <w:sz w:val="24"/>
          <w:szCs w:val="24"/>
        </w:rPr>
        <w:t>Изменената разпоредба ще създаде възможност за реализиране на служебно годишно преизчисляване на пенсиите, свързани с трудова дейност, с придобит от лицата осигурителен стаж след пенсионирането им. Разпоредбата цели да се елиминира необходимостта от подаване на заявления за този вид преизчисляване на пенсиите, като целта е намаляване на административната тежест за работещите пенсионери.</w:t>
      </w:r>
    </w:p>
    <w:p w14:paraId="08536C27" w14:textId="77777777" w:rsidR="0028472C" w:rsidRDefault="0028472C" w:rsidP="0028472C">
      <w:pPr>
        <w:pStyle w:val="NoSpacing"/>
        <w:ind w:firstLine="567"/>
        <w:jc w:val="both"/>
        <w:rPr>
          <w:rFonts w:ascii="Times New Roman" w:hAnsi="Times New Roman" w:cs="Times New Roman"/>
          <w:iCs/>
          <w:sz w:val="24"/>
          <w:szCs w:val="24"/>
        </w:rPr>
      </w:pPr>
      <w:r>
        <w:rPr>
          <w:rFonts w:ascii="Times New Roman" w:hAnsi="Times New Roman" w:cs="Times New Roman"/>
          <w:iCs/>
          <w:sz w:val="24"/>
          <w:szCs w:val="24"/>
        </w:rPr>
        <w:lastRenderedPageBreak/>
        <w:t>Конкретизирана е датата, от която се извършва преизчисляването - от 1 април на съответната година. При преизчисляването се вземат предвид наличните данни в информационната система на НОИ за положения от лицето осигурителен стаж след пенсионирането му, съответно – след последното преизчисляване на пенсията му, до края на предходната календарна година. По този начин се прилага единен подход за всички пенсии, подлежащи на преизчисляване и се гарантира равнопоставеност за всички лица и яснота относно очакванията им.</w:t>
      </w:r>
    </w:p>
    <w:p w14:paraId="0368CFF7" w14:textId="77777777" w:rsidR="0028472C" w:rsidRDefault="0028472C" w:rsidP="0028472C">
      <w:pPr>
        <w:pStyle w:val="NoSpacing"/>
        <w:ind w:firstLine="567"/>
        <w:jc w:val="both"/>
        <w:rPr>
          <w:rFonts w:ascii="Times New Roman" w:hAnsi="Times New Roman" w:cs="Times New Roman"/>
          <w:iCs/>
          <w:sz w:val="24"/>
          <w:szCs w:val="24"/>
        </w:rPr>
      </w:pPr>
      <w:r>
        <w:rPr>
          <w:rFonts w:ascii="Times New Roman" w:hAnsi="Times New Roman" w:cs="Times New Roman"/>
          <w:iCs/>
          <w:sz w:val="24"/>
          <w:szCs w:val="24"/>
        </w:rPr>
        <w:t>Едновременно със служебното годишно преизчисляване се запазва възможността пенсионерът да поиска с еднократно подаване на заявление, пенсията му да се преизчислява ежегодно със зачитане не само на осигурителния стаж, но и на осигурителния доход, придобити от него след пенсионирането, ако това е по-благоприятно за лицето. Преизчисляването по заявление на пенсионера се извършва всяка година от първо число на един и същ месец, следващ месеца, в който е подадено заявлението.</w:t>
      </w:r>
    </w:p>
    <w:p w14:paraId="66FEE842" w14:textId="77777777" w:rsidR="0028472C" w:rsidRDefault="0028472C" w:rsidP="0028472C">
      <w:pPr>
        <w:pStyle w:val="NoSpacing"/>
        <w:ind w:firstLine="567"/>
        <w:jc w:val="both"/>
        <w:rPr>
          <w:rFonts w:ascii="Times New Roman" w:hAnsi="Times New Roman" w:cs="Times New Roman"/>
          <w:i/>
          <w:iCs/>
          <w:sz w:val="24"/>
          <w:szCs w:val="24"/>
          <w:lang w:val="ru-RU"/>
        </w:rPr>
      </w:pPr>
      <w:r>
        <w:rPr>
          <w:rFonts w:ascii="Times New Roman" w:hAnsi="Times New Roman" w:cs="Times New Roman"/>
          <w:iCs/>
          <w:sz w:val="24"/>
          <w:szCs w:val="24"/>
        </w:rPr>
        <w:t>С изменената разпоредба се установяват условията, при които една пенсия попада в обхвата за служебно преизчисляване през съответната година, а именно при придобит от пенсионера осигурителен стаж през предходната календарна година и при липса на подадено заявление за преизчисляване със стаж и доход.</w:t>
      </w:r>
      <w:r>
        <w:rPr>
          <w:rFonts w:ascii="Times New Roman" w:hAnsi="Times New Roman" w:cs="Times New Roman"/>
          <w:i/>
          <w:iCs/>
          <w:sz w:val="24"/>
          <w:szCs w:val="24"/>
        </w:rPr>
        <w:t xml:space="preserve"> </w:t>
      </w:r>
    </w:p>
    <w:p w14:paraId="5C210849" w14:textId="77777777" w:rsidR="0028472C" w:rsidRDefault="0028472C" w:rsidP="0028472C">
      <w:pPr>
        <w:spacing w:after="0" w:line="240" w:lineRule="auto"/>
        <w:ind w:firstLine="567"/>
        <w:jc w:val="both"/>
        <w:rPr>
          <w:rFonts w:ascii="Times New Roman" w:hAnsi="Times New Roman"/>
          <w:sz w:val="24"/>
          <w:szCs w:val="24"/>
        </w:rPr>
      </w:pPr>
      <w:r>
        <w:rPr>
          <w:rFonts w:ascii="Times New Roman" w:hAnsi="Times New Roman"/>
          <w:sz w:val="24"/>
          <w:szCs w:val="24"/>
        </w:rPr>
        <w:t>Във връзка с необходимостта от уреждане на заварените случаи с подадени през 2019 и 2020 г. заявления от пенсионерите за ежегодно преизчисляване на пенсиите им е създадена преходната норма на § 7г в ПЗР на КСО.</w:t>
      </w:r>
    </w:p>
    <w:p w14:paraId="7A47D054" w14:textId="77777777" w:rsidR="0028472C" w:rsidRDefault="0028472C" w:rsidP="0028472C">
      <w:pPr>
        <w:spacing w:after="0" w:line="240" w:lineRule="auto"/>
        <w:ind w:firstLine="567"/>
        <w:jc w:val="both"/>
        <w:rPr>
          <w:rFonts w:ascii="Times New Roman" w:hAnsi="Times New Roman"/>
          <w:color w:val="000000"/>
          <w:sz w:val="24"/>
          <w:szCs w:val="24"/>
        </w:rPr>
      </w:pPr>
      <w:r>
        <w:rPr>
          <w:rFonts w:ascii="Times New Roman" w:hAnsi="Times New Roman"/>
          <w:sz w:val="24"/>
          <w:szCs w:val="24"/>
        </w:rPr>
        <w:t>Отново с оглед съобразяване с разпоредбите на Закона за мерките и действията по време на извънредното положение, обявено с решение на Народното събрание от 13 март 2020 г. и по-конкретно с § 5 от неговите преходни и заключителни разпоредби, е</w:t>
      </w:r>
      <w:r>
        <w:rPr>
          <w:rFonts w:ascii="Times New Roman" w:hAnsi="Times New Roman"/>
          <w:color w:val="000000"/>
          <w:sz w:val="24"/>
          <w:szCs w:val="24"/>
        </w:rPr>
        <w:t xml:space="preserve"> предложена отмяна на ал. 2 на чл. 54г. </w:t>
      </w:r>
    </w:p>
    <w:p w14:paraId="3010115D" w14:textId="77777777" w:rsidR="0028472C" w:rsidRDefault="0028472C" w:rsidP="0028472C">
      <w:pPr>
        <w:spacing w:after="0" w:line="240" w:lineRule="auto"/>
        <w:ind w:firstLine="567"/>
        <w:jc w:val="both"/>
        <w:rPr>
          <w:rFonts w:ascii="Times New Roman" w:hAnsi="Times New Roman"/>
          <w:color w:val="000000"/>
          <w:sz w:val="24"/>
          <w:szCs w:val="24"/>
        </w:rPr>
      </w:pPr>
      <w:r>
        <w:rPr>
          <w:rFonts w:ascii="Times New Roman" w:hAnsi="Times New Roman"/>
          <w:color w:val="000000"/>
          <w:sz w:val="24"/>
          <w:szCs w:val="24"/>
        </w:rPr>
        <w:t>С новата т. 19 на чл. 33, ал. 5 се урежда изрично, че НОИ води регистър на изплатените гарантирани вземания по Закона за гарантираните вземания на работниците и служителите при несъстоятелност на работодателя. Това правомощие следва от изричната делегация на чл. 13 от ЗГВРСНР, съобразно който</w:t>
      </w:r>
      <w:bookmarkStart w:id="4" w:name="to_paragraph_id2371226"/>
      <w:bookmarkEnd w:id="4"/>
      <w:r>
        <w:rPr>
          <w:rFonts w:ascii="Verdana" w:eastAsia="Times New Roman" w:hAnsi="Verdana"/>
          <w:b/>
          <w:bCs/>
          <w:color w:val="000000"/>
          <w:sz w:val="24"/>
          <w:szCs w:val="24"/>
          <w:lang w:eastAsia="bg-BG"/>
        </w:rPr>
        <w:t xml:space="preserve"> </w:t>
      </w:r>
      <w:r>
        <w:rPr>
          <w:rFonts w:ascii="Times New Roman" w:hAnsi="Times New Roman"/>
          <w:bCs/>
          <w:color w:val="000000"/>
          <w:sz w:val="24"/>
          <w:szCs w:val="24"/>
        </w:rPr>
        <w:t>а</w:t>
      </w:r>
      <w:r>
        <w:rPr>
          <w:rFonts w:ascii="Times New Roman" w:hAnsi="Times New Roman"/>
          <w:color w:val="000000"/>
          <w:sz w:val="24"/>
          <w:szCs w:val="24"/>
        </w:rPr>
        <w:t xml:space="preserve">дминистративното, техническото, счетоводното, правното и информационното обслужване на фонда се извършва от Националния осигурителен институт. Предвидено е тази норма да влезе в сила, считано от 1 януари 2023 г. </w:t>
      </w:r>
    </w:p>
    <w:p w14:paraId="7376F785" w14:textId="77777777" w:rsidR="0028472C" w:rsidRDefault="0028472C" w:rsidP="0028472C">
      <w:pPr>
        <w:spacing w:after="0" w:line="240" w:lineRule="auto"/>
        <w:ind w:firstLine="567"/>
        <w:jc w:val="both"/>
        <w:rPr>
          <w:rFonts w:ascii="Times New Roman" w:hAnsi="Times New Roman"/>
          <w:color w:val="000000"/>
          <w:sz w:val="24"/>
          <w:szCs w:val="24"/>
        </w:rPr>
      </w:pPr>
      <w:r>
        <w:rPr>
          <w:rFonts w:ascii="Times New Roman" w:hAnsi="Times New Roman"/>
          <w:color w:val="000000"/>
          <w:sz w:val="24"/>
          <w:szCs w:val="24"/>
        </w:rPr>
        <w:t xml:space="preserve">С изменението в чл. 105, ал. 2 от КСО се създава изрична регламентация по отношение на давността, </w:t>
      </w:r>
      <w:proofErr w:type="spellStart"/>
      <w:r>
        <w:rPr>
          <w:rFonts w:ascii="Times New Roman" w:hAnsi="Times New Roman"/>
          <w:color w:val="000000"/>
          <w:sz w:val="24"/>
          <w:szCs w:val="24"/>
        </w:rPr>
        <w:t>относима</w:t>
      </w:r>
      <w:proofErr w:type="spellEnd"/>
      <w:r>
        <w:rPr>
          <w:rFonts w:ascii="Times New Roman" w:hAnsi="Times New Roman"/>
          <w:color w:val="000000"/>
          <w:sz w:val="24"/>
          <w:szCs w:val="24"/>
        </w:rPr>
        <w:t xml:space="preserve"> към добавките, изплащани към пенсиите, като по този начин се преодолява правоприлагането по аналогия.</w:t>
      </w:r>
    </w:p>
    <w:p w14:paraId="3602A83F" w14:textId="77777777" w:rsidR="0028472C" w:rsidRDefault="0028472C" w:rsidP="0028472C">
      <w:pPr>
        <w:spacing w:after="0" w:line="240" w:lineRule="auto"/>
        <w:ind w:firstLine="567"/>
        <w:jc w:val="both"/>
        <w:rPr>
          <w:rFonts w:ascii="Times New Roman" w:hAnsi="Times New Roman"/>
          <w:color w:val="000000"/>
          <w:sz w:val="24"/>
          <w:szCs w:val="24"/>
        </w:rPr>
      </w:pPr>
      <w:r>
        <w:rPr>
          <w:rFonts w:ascii="Times New Roman" w:hAnsi="Times New Roman"/>
          <w:color w:val="000000"/>
          <w:sz w:val="24"/>
          <w:szCs w:val="24"/>
        </w:rPr>
        <w:t>Изменението в чл. 60, ал. 3 цели уеднаквяване на реда за връчване на разпореждането за признаване или непризнаване на злополуката за трудова с реда за връчване на останалите разпореждания, издавани от длъжностните лица на НОИ.</w:t>
      </w:r>
    </w:p>
    <w:p w14:paraId="1EFD4757" w14:textId="77777777" w:rsidR="0028472C" w:rsidRDefault="0028472C" w:rsidP="0028472C">
      <w:pPr>
        <w:spacing w:after="0" w:line="240" w:lineRule="auto"/>
        <w:ind w:firstLine="567"/>
        <w:jc w:val="both"/>
        <w:rPr>
          <w:rFonts w:ascii="Times New Roman" w:hAnsi="Times New Roman"/>
          <w:color w:val="000000"/>
          <w:sz w:val="24"/>
          <w:szCs w:val="24"/>
        </w:rPr>
      </w:pPr>
      <w:r>
        <w:rPr>
          <w:rFonts w:ascii="Times New Roman" w:hAnsi="Times New Roman"/>
          <w:color w:val="000000"/>
          <w:sz w:val="24"/>
          <w:szCs w:val="24"/>
        </w:rPr>
        <w:t>С промяната в чл. 96, ал. 1, т. 2 се създава облагоприятстващ режим по отношение на лицата, осиновени при условията на непълно осиновяване. Изменението е предложено предвид характера на правната връзка, която се създава между осиновител и осиновен, респективно между осиновен и рождени родители, както и с оглед съобразяване със съдебната практика.</w:t>
      </w:r>
    </w:p>
    <w:p w14:paraId="75A68EE6" w14:textId="77777777" w:rsidR="0028472C" w:rsidRDefault="0028472C" w:rsidP="0028472C">
      <w:pPr>
        <w:spacing w:after="0" w:line="240" w:lineRule="auto"/>
        <w:ind w:firstLine="567"/>
        <w:jc w:val="both"/>
        <w:rPr>
          <w:rFonts w:ascii="Times New Roman" w:hAnsi="Times New Roman"/>
          <w:color w:val="000000"/>
          <w:sz w:val="24"/>
          <w:szCs w:val="24"/>
        </w:rPr>
      </w:pPr>
      <w:r>
        <w:rPr>
          <w:rFonts w:ascii="Times New Roman" w:hAnsi="Times New Roman"/>
          <w:color w:val="000000"/>
          <w:sz w:val="24"/>
          <w:szCs w:val="24"/>
        </w:rPr>
        <w:t xml:space="preserve">С оглед необходимостта от уреждане на заварените случаи е предложено създаването на § 22ч в ПЗР на КСО. </w:t>
      </w:r>
    </w:p>
    <w:p w14:paraId="11C4F389" w14:textId="77777777" w:rsidR="0028472C" w:rsidRDefault="0028472C" w:rsidP="0028472C">
      <w:pPr>
        <w:spacing w:after="0" w:line="240" w:lineRule="auto"/>
        <w:ind w:firstLine="567"/>
        <w:jc w:val="both"/>
        <w:rPr>
          <w:rFonts w:ascii="Times New Roman" w:hAnsi="Times New Roman"/>
          <w:color w:val="000000"/>
          <w:sz w:val="24"/>
          <w:szCs w:val="24"/>
        </w:rPr>
      </w:pPr>
      <w:r>
        <w:rPr>
          <w:rFonts w:ascii="Times New Roman" w:hAnsi="Times New Roman"/>
          <w:color w:val="000000"/>
          <w:sz w:val="24"/>
          <w:szCs w:val="24"/>
        </w:rPr>
        <w:t xml:space="preserve">Със ЗБДОО за 2021 г. са предложени промени и в други закони – в Наказателния кодекс и в Закона за гарантираните вземанията на работниците и служителите при несъстоятелност на работодателя. </w:t>
      </w:r>
    </w:p>
    <w:p w14:paraId="4BBF8A7D" w14:textId="77777777" w:rsidR="0028472C" w:rsidRDefault="0028472C" w:rsidP="0028472C">
      <w:pPr>
        <w:spacing w:after="0" w:line="240" w:lineRule="auto"/>
        <w:ind w:firstLine="567"/>
        <w:jc w:val="both"/>
        <w:rPr>
          <w:rFonts w:ascii="Times New Roman" w:hAnsi="Times New Roman"/>
          <w:color w:val="000000"/>
          <w:sz w:val="24"/>
          <w:szCs w:val="24"/>
        </w:rPr>
      </w:pPr>
      <w:r>
        <w:rPr>
          <w:rFonts w:ascii="Times New Roman" w:hAnsi="Times New Roman"/>
          <w:color w:val="000000"/>
          <w:sz w:val="24"/>
          <w:szCs w:val="24"/>
        </w:rPr>
        <w:lastRenderedPageBreak/>
        <w:t xml:space="preserve">Промените в чл. 256 от НК са предложени с оглед обстоятелството, че през годините са констатирани опити за неправомерно получаване на средства от фондовете на държавното обществено осигуряване и от фондовете на Националната здравноосигурителна каса, чрез използването на документи с невярно съдържание, на неистински или преправени документ. При констатиране на такива опити органите на НОИ своевременно са сезирали компетентните органи на досъдебно производство. Образуваните прокурорски преписки обаче в голяма част от случаите приключват с постановление за отказ за образуване на досъдебно производство поради </w:t>
      </w:r>
      <w:proofErr w:type="spellStart"/>
      <w:r>
        <w:rPr>
          <w:rFonts w:ascii="Times New Roman" w:hAnsi="Times New Roman"/>
          <w:color w:val="000000"/>
          <w:sz w:val="24"/>
          <w:szCs w:val="24"/>
        </w:rPr>
        <w:t>несъставомерност</w:t>
      </w:r>
      <w:proofErr w:type="spellEnd"/>
      <w:r>
        <w:rPr>
          <w:rFonts w:ascii="Times New Roman" w:hAnsi="Times New Roman"/>
          <w:color w:val="000000"/>
          <w:sz w:val="24"/>
          <w:szCs w:val="24"/>
        </w:rPr>
        <w:t xml:space="preserve"> на деянието. По-конкретно досъдебно производство не се образува, тъй като бюджетът на ДОО и бюджетът на НЗОК не е/ не са част от държавния бюджет, а е/ са самостоятелни бюджети, които се приемат по специалния ред, заедно с държавния бюджет. Това обстоятелство налага да бъде инкриминирано използването на документ с невярно съдържание, неистински или преправен документ с цел получаване на неследваща се облага от бюджета на ДОО или от бюджета на НЗОК.</w:t>
      </w:r>
    </w:p>
    <w:p w14:paraId="0E30AE56" w14:textId="77777777" w:rsidR="0028472C" w:rsidRDefault="0028472C" w:rsidP="0028472C">
      <w:pPr>
        <w:spacing w:after="0" w:line="240" w:lineRule="auto"/>
        <w:ind w:firstLine="567"/>
        <w:jc w:val="both"/>
        <w:rPr>
          <w:rFonts w:ascii="Times New Roman" w:hAnsi="Times New Roman"/>
          <w:color w:val="000000"/>
          <w:sz w:val="24"/>
          <w:szCs w:val="24"/>
        </w:rPr>
      </w:pPr>
      <w:r>
        <w:rPr>
          <w:rFonts w:ascii="Times New Roman" w:hAnsi="Times New Roman"/>
          <w:color w:val="000000"/>
          <w:sz w:val="24"/>
          <w:szCs w:val="24"/>
        </w:rPr>
        <w:t xml:space="preserve">Промяната в чл. 15, ал. 1, т. 2 от ЗГВРСНР е прецизираща и цели уеднаквяването на текста с измененията в чл. 27, ал. 2 от ЗГВРСНР, приети с § 9, т. 3 от ПЗР на ЗБДОО за 2017 г., </w:t>
      </w:r>
      <w:proofErr w:type="spellStart"/>
      <w:r>
        <w:rPr>
          <w:rFonts w:ascii="Times New Roman" w:hAnsi="Times New Roman"/>
          <w:color w:val="000000"/>
          <w:sz w:val="24"/>
          <w:szCs w:val="24"/>
        </w:rPr>
        <w:t>обн</w:t>
      </w:r>
      <w:proofErr w:type="spellEnd"/>
      <w:r>
        <w:rPr>
          <w:rFonts w:ascii="Times New Roman" w:hAnsi="Times New Roman"/>
          <w:color w:val="000000"/>
          <w:sz w:val="24"/>
          <w:szCs w:val="24"/>
        </w:rPr>
        <w:t>. ДВ бр. 98 от 2016 г., в сила от 1.01.2017 г.</w:t>
      </w:r>
    </w:p>
    <w:p w14:paraId="7C9CD34F" w14:textId="77777777" w:rsidR="0028472C" w:rsidRDefault="0028472C" w:rsidP="0028472C">
      <w:pPr>
        <w:spacing w:after="0" w:line="240" w:lineRule="auto"/>
        <w:ind w:firstLine="567"/>
        <w:jc w:val="both"/>
        <w:rPr>
          <w:rFonts w:ascii="Times New Roman" w:hAnsi="Times New Roman"/>
          <w:color w:val="000000"/>
          <w:sz w:val="24"/>
          <w:szCs w:val="24"/>
        </w:rPr>
      </w:pPr>
      <w:r>
        <w:rPr>
          <w:rFonts w:ascii="Times New Roman" w:hAnsi="Times New Roman"/>
          <w:color w:val="000000"/>
          <w:sz w:val="24"/>
          <w:szCs w:val="24"/>
        </w:rPr>
        <w:t xml:space="preserve">С промените в чл. 15, ал. 1, т. 3 от ЗГВРСНР С промяната в чл. 15, ал. 1, т. 3 от Закона за гарантиране на вземанията на работниците и служителите при несъстоятелност на работодателя се дава възможност за изпълнение на инвестиционната програма на фонд „Гарантирани вземания на работниците и служителите“ (фонд ГВРС) при пълно съответствие с принципите на финансовото управление и контрол в публичния сектор. Предлага се издръжката да бъде определяна ежегодно от надзорния съвет при спазване на утвърдените тавани за разходите. </w:t>
      </w:r>
    </w:p>
    <w:p w14:paraId="27637523" w14:textId="77777777" w:rsidR="0028472C" w:rsidRDefault="0028472C" w:rsidP="0028472C">
      <w:pPr>
        <w:spacing w:after="0" w:line="240" w:lineRule="auto"/>
        <w:ind w:firstLine="720"/>
        <w:jc w:val="both"/>
        <w:rPr>
          <w:rFonts w:ascii="Times New Roman" w:hAnsi="Times New Roman"/>
          <w:color w:val="000000"/>
          <w:sz w:val="24"/>
          <w:szCs w:val="24"/>
        </w:rPr>
      </w:pPr>
      <w:r>
        <w:rPr>
          <w:rFonts w:ascii="Times New Roman" w:hAnsi="Times New Roman"/>
          <w:color w:val="000000"/>
          <w:sz w:val="24"/>
          <w:szCs w:val="24"/>
        </w:rPr>
        <w:t xml:space="preserve">Съгласно Тарифа за таксите и комисионните за обработка на сделки с ДЦК на БНБ, приета на основание чл. 2, ал. 4 от Наредба № 5 на МФ и БНБ на банките – първични дилъри, с които фонд ГВРС работи, се дължат такси за обработка на документи за участие в </w:t>
      </w:r>
      <w:proofErr w:type="spellStart"/>
      <w:r>
        <w:rPr>
          <w:rFonts w:ascii="Times New Roman" w:hAnsi="Times New Roman"/>
          <w:color w:val="000000"/>
          <w:sz w:val="24"/>
          <w:szCs w:val="24"/>
        </w:rPr>
        <w:t>аукциони</w:t>
      </w:r>
      <w:proofErr w:type="spellEnd"/>
      <w:r>
        <w:rPr>
          <w:rFonts w:ascii="Times New Roman" w:hAnsi="Times New Roman"/>
          <w:color w:val="000000"/>
          <w:sz w:val="24"/>
          <w:szCs w:val="24"/>
        </w:rPr>
        <w:t xml:space="preserve">, регистрация и </w:t>
      </w:r>
      <w:proofErr w:type="spellStart"/>
      <w:r>
        <w:rPr>
          <w:rFonts w:ascii="Times New Roman" w:hAnsi="Times New Roman"/>
          <w:color w:val="000000"/>
          <w:sz w:val="24"/>
          <w:szCs w:val="24"/>
        </w:rPr>
        <w:t>сетълмент</w:t>
      </w:r>
      <w:proofErr w:type="spellEnd"/>
      <w:r>
        <w:rPr>
          <w:rFonts w:ascii="Times New Roman" w:hAnsi="Times New Roman"/>
          <w:color w:val="000000"/>
          <w:sz w:val="24"/>
          <w:szCs w:val="24"/>
        </w:rPr>
        <w:t xml:space="preserve"> на ДЦК на първичен пазар и при падеж на емисии на база на сключени договори с всеки един първичен дилър. Таксите за одобрени поръчки и за изплащане на емисии с настъпил падеж се определят в процент от номинала, съответно 0,05% и 0,02%. </w:t>
      </w:r>
    </w:p>
    <w:p w14:paraId="2D9187DF" w14:textId="77777777" w:rsidR="0028472C" w:rsidRDefault="0028472C" w:rsidP="0028472C">
      <w:pPr>
        <w:spacing w:after="0" w:line="240" w:lineRule="auto"/>
        <w:ind w:firstLine="720"/>
        <w:jc w:val="both"/>
        <w:rPr>
          <w:rFonts w:ascii="Times New Roman" w:hAnsi="Times New Roman"/>
          <w:color w:val="000000"/>
          <w:sz w:val="24"/>
          <w:szCs w:val="24"/>
        </w:rPr>
      </w:pPr>
      <w:r>
        <w:rPr>
          <w:rFonts w:ascii="Times New Roman" w:hAnsi="Times New Roman"/>
          <w:color w:val="000000"/>
          <w:sz w:val="24"/>
          <w:szCs w:val="24"/>
        </w:rPr>
        <w:t xml:space="preserve">Към настоящия момент, приходите на фонд ГВРС се формират от приходи от лихви по вече закупени ДЦК. Техният размер е фиксиран и предварително известен. Лихвеният процент варира според характеристиките на съответната емисия. През следващите години (2021-2023 г.) се очаква приходите на фонда да бъдат около 3,0 млн. лв. на година, което отразява постъпленията от текущия инвестиционен портфейл. Отделно към това, фондът има налични средства в размер на близо 104 млн. лв., които могат да бъдат инвестирани при подходяща възможност. </w:t>
      </w:r>
    </w:p>
    <w:p w14:paraId="43164CC7" w14:textId="77777777" w:rsidR="0028472C" w:rsidRDefault="0028472C" w:rsidP="0028472C">
      <w:pPr>
        <w:spacing w:after="0" w:line="240" w:lineRule="auto"/>
        <w:ind w:firstLine="720"/>
        <w:jc w:val="both"/>
        <w:rPr>
          <w:rFonts w:ascii="Times New Roman" w:hAnsi="Times New Roman"/>
          <w:color w:val="000000"/>
          <w:sz w:val="24"/>
          <w:szCs w:val="24"/>
        </w:rPr>
      </w:pPr>
      <w:r>
        <w:rPr>
          <w:rFonts w:ascii="Times New Roman" w:hAnsi="Times New Roman"/>
          <w:color w:val="000000"/>
          <w:sz w:val="24"/>
          <w:szCs w:val="24"/>
        </w:rPr>
        <w:t>При този очакван размер на приходите от лихвени плащания по вече закупени ДЦК, максималният размер на издръжката на фонда възлиза на 9,0 хил. лв. (0,3% от 3,0 млн. лв.). Тази сума е по-малка, отколкото са само таксите, които трябва да бъдат платени за услугите по банково обслужване, покупката и падежа на ДЦК, без да се добавят разходите, необходими за нормалната оперативна дейност на фонда.</w:t>
      </w:r>
    </w:p>
    <w:p w14:paraId="1E3D492E" w14:textId="637342A9" w:rsidR="006421E9" w:rsidRPr="0028472C" w:rsidRDefault="0028472C" w:rsidP="0028472C">
      <w:pPr>
        <w:spacing w:after="0" w:line="240" w:lineRule="auto"/>
        <w:ind w:firstLine="567"/>
        <w:jc w:val="both"/>
        <w:rPr>
          <w:rFonts w:ascii="Times New Roman" w:hAnsi="Times New Roman"/>
          <w:color w:val="000000"/>
          <w:sz w:val="24"/>
          <w:szCs w:val="24"/>
        </w:rPr>
      </w:pPr>
      <w:r>
        <w:rPr>
          <w:rFonts w:ascii="Times New Roman" w:hAnsi="Times New Roman"/>
          <w:color w:val="000000"/>
          <w:sz w:val="24"/>
          <w:szCs w:val="24"/>
        </w:rPr>
        <w:t>Измененията в чл. 27, ал. 1 от ЗГВРСНР са с оглед прецизиране на текста в съответствие със Закона за платежните услуги и платежните системи (ЗПУПС) (в сила от 6 март 2018 г.) и издадената съгласно него Наредба № 3 на БНБ от 18 април 2018 г. за условията и реда за откриване на платежни сметки, за изпълнение на платежни операции и за използване на платежни инструменти (</w:t>
      </w:r>
      <w:proofErr w:type="spellStart"/>
      <w:r>
        <w:rPr>
          <w:rFonts w:ascii="Times New Roman" w:hAnsi="Times New Roman"/>
          <w:color w:val="000000"/>
          <w:sz w:val="24"/>
          <w:szCs w:val="24"/>
        </w:rPr>
        <w:t>обн</w:t>
      </w:r>
      <w:proofErr w:type="spellEnd"/>
      <w:r>
        <w:rPr>
          <w:rFonts w:ascii="Times New Roman" w:hAnsi="Times New Roman"/>
          <w:color w:val="000000"/>
          <w:sz w:val="24"/>
          <w:szCs w:val="24"/>
        </w:rPr>
        <w:t>., ДВ, бр. 37 от 4 май 2018 г.).</w:t>
      </w:r>
    </w:p>
    <w:sectPr w:rsidR="006421E9" w:rsidRPr="0028472C">
      <w:pgSz w:w="12240" w:h="15840"/>
      <w:pgMar w:top="1417" w:right="1417" w:bottom="1417" w:left="141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D8A4C6C" w14:textId="77777777" w:rsidR="00CC76BA" w:rsidRDefault="00CC76BA" w:rsidP="002F2925">
      <w:pPr>
        <w:spacing w:after="0" w:line="240" w:lineRule="auto"/>
      </w:pPr>
      <w:r>
        <w:separator/>
      </w:r>
    </w:p>
  </w:endnote>
  <w:endnote w:type="continuationSeparator" w:id="0">
    <w:p w14:paraId="04B78F2A" w14:textId="77777777" w:rsidR="00CC76BA" w:rsidRDefault="00CC76BA" w:rsidP="002F29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7D66B79" w14:textId="77777777" w:rsidR="00CC76BA" w:rsidRDefault="00CC76BA" w:rsidP="002F2925">
      <w:pPr>
        <w:spacing w:after="0" w:line="240" w:lineRule="auto"/>
      </w:pPr>
      <w:r>
        <w:separator/>
      </w:r>
    </w:p>
  </w:footnote>
  <w:footnote w:type="continuationSeparator" w:id="0">
    <w:p w14:paraId="63504C19" w14:textId="77777777" w:rsidR="00CC76BA" w:rsidRDefault="00CC76BA" w:rsidP="002F2925">
      <w:pPr>
        <w:spacing w:after="0" w:line="240" w:lineRule="auto"/>
      </w:pPr>
      <w:r>
        <w:continuationSeparator/>
      </w:r>
    </w:p>
  </w:footnote>
  <w:footnote w:id="1">
    <w:p w14:paraId="330B2092" w14:textId="77777777" w:rsidR="002F2925" w:rsidRPr="00531B6D" w:rsidRDefault="002F2925" w:rsidP="002F2925">
      <w:pPr>
        <w:pStyle w:val="FootnoteText"/>
        <w:jc w:val="both"/>
        <w:rPr>
          <w:lang w:val="bg-BG"/>
        </w:rPr>
      </w:pPr>
      <w:r>
        <w:rPr>
          <w:rStyle w:val="FootnoteReference"/>
        </w:rPr>
        <w:footnoteRef/>
      </w:r>
      <w:r>
        <w:t xml:space="preserve"> </w:t>
      </w:r>
      <w:r w:rsidRPr="00531B6D">
        <w:rPr>
          <w:lang w:val="bg-BG"/>
        </w:rPr>
        <w:t>Планът за годината по отношение на приходи, разходи и трансфери са в съответствие с промените в Закона за бюджета на държавното обществено осигуряване за 2020 г., въведени със Закона за изменение и допълнение на Закона за държавния бюджет на Република България за 2020 г. (</w:t>
      </w:r>
      <w:proofErr w:type="spellStart"/>
      <w:r w:rsidRPr="00531B6D">
        <w:rPr>
          <w:lang w:val="bg-BG"/>
        </w:rPr>
        <w:t>Обн</w:t>
      </w:r>
      <w:proofErr w:type="spellEnd"/>
      <w:r w:rsidRPr="00531B6D">
        <w:rPr>
          <w:lang w:val="bg-BG"/>
        </w:rPr>
        <w:t>, ДВ., бр. 34 от 2020 г.).</w:t>
      </w:r>
    </w:p>
    <w:p w14:paraId="4CED5DE0" w14:textId="77777777" w:rsidR="002F2925" w:rsidRPr="007C003B" w:rsidRDefault="002F2925" w:rsidP="002F2925">
      <w:pPr>
        <w:pStyle w:val="FootnoteText"/>
        <w:rPr>
          <w:lang w:val="bg-BG"/>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9D07A2A"/>
    <w:multiLevelType w:val="hybridMultilevel"/>
    <w:tmpl w:val="40D2275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19F5C6B"/>
    <w:multiLevelType w:val="hybridMultilevel"/>
    <w:tmpl w:val="BE16C1EA"/>
    <w:lvl w:ilvl="0" w:tplc="EC925186">
      <w:start w:val="1"/>
      <w:numFmt w:val="bullet"/>
      <w:lvlText w:val=""/>
      <w:lvlJc w:val="left"/>
      <w:pPr>
        <w:tabs>
          <w:tab w:val="num" w:pos="1499"/>
        </w:tabs>
        <w:ind w:left="1499" w:hanging="459"/>
      </w:pPr>
      <w:rPr>
        <w:rFonts w:ascii="Symbol" w:hAnsi="Symbol" w:hint="default"/>
      </w:rPr>
    </w:lvl>
    <w:lvl w:ilvl="1" w:tplc="04090003">
      <w:start w:val="1"/>
      <w:numFmt w:val="bullet"/>
      <w:lvlText w:val="o"/>
      <w:lvlJc w:val="left"/>
      <w:pPr>
        <w:tabs>
          <w:tab w:val="num" w:pos="2120"/>
        </w:tabs>
        <w:ind w:left="2120" w:hanging="360"/>
      </w:pPr>
      <w:rPr>
        <w:rFonts w:ascii="Courier New" w:hAnsi="Courier New" w:cs="Courier New" w:hint="default"/>
      </w:rPr>
    </w:lvl>
    <w:lvl w:ilvl="2" w:tplc="04090005" w:tentative="1">
      <w:start w:val="1"/>
      <w:numFmt w:val="bullet"/>
      <w:lvlText w:val=""/>
      <w:lvlJc w:val="left"/>
      <w:pPr>
        <w:tabs>
          <w:tab w:val="num" w:pos="2840"/>
        </w:tabs>
        <w:ind w:left="2840" w:hanging="360"/>
      </w:pPr>
      <w:rPr>
        <w:rFonts w:ascii="Wingdings" w:hAnsi="Wingdings" w:hint="default"/>
      </w:rPr>
    </w:lvl>
    <w:lvl w:ilvl="3" w:tplc="04090001" w:tentative="1">
      <w:start w:val="1"/>
      <w:numFmt w:val="bullet"/>
      <w:lvlText w:val=""/>
      <w:lvlJc w:val="left"/>
      <w:pPr>
        <w:tabs>
          <w:tab w:val="num" w:pos="3560"/>
        </w:tabs>
        <w:ind w:left="3560" w:hanging="360"/>
      </w:pPr>
      <w:rPr>
        <w:rFonts w:ascii="Symbol" w:hAnsi="Symbol" w:hint="default"/>
      </w:rPr>
    </w:lvl>
    <w:lvl w:ilvl="4" w:tplc="04090003" w:tentative="1">
      <w:start w:val="1"/>
      <w:numFmt w:val="bullet"/>
      <w:lvlText w:val="o"/>
      <w:lvlJc w:val="left"/>
      <w:pPr>
        <w:tabs>
          <w:tab w:val="num" w:pos="4280"/>
        </w:tabs>
        <w:ind w:left="4280" w:hanging="360"/>
      </w:pPr>
      <w:rPr>
        <w:rFonts w:ascii="Courier New" w:hAnsi="Courier New" w:cs="Courier New" w:hint="default"/>
      </w:rPr>
    </w:lvl>
    <w:lvl w:ilvl="5" w:tplc="04090005" w:tentative="1">
      <w:start w:val="1"/>
      <w:numFmt w:val="bullet"/>
      <w:lvlText w:val=""/>
      <w:lvlJc w:val="left"/>
      <w:pPr>
        <w:tabs>
          <w:tab w:val="num" w:pos="5000"/>
        </w:tabs>
        <w:ind w:left="5000" w:hanging="360"/>
      </w:pPr>
      <w:rPr>
        <w:rFonts w:ascii="Wingdings" w:hAnsi="Wingdings" w:hint="default"/>
      </w:rPr>
    </w:lvl>
    <w:lvl w:ilvl="6" w:tplc="04090001" w:tentative="1">
      <w:start w:val="1"/>
      <w:numFmt w:val="bullet"/>
      <w:lvlText w:val=""/>
      <w:lvlJc w:val="left"/>
      <w:pPr>
        <w:tabs>
          <w:tab w:val="num" w:pos="5720"/>
        </w:tabs>
        <w:ind w:left="5720" w:hanging="360"/>
      </w:pPr>
      <w:rPr>
        <w:rFonts w:ascii="Symbol" w:hAnsi="Symbol" w:hint="default"/>
      </w:rPr>
    </w:lvl>
    <w:lvl w:ilvl="7" w:tplc="04090003" w:tentative="1">
      <w:start w:val="1"/>
      <w:numFmt w:val="bullet"/>
      <w:lvlText w:val="o"/>
      <w:lvlJc w:val="left"/>
      <w:pPr>
        <w:tabs>
          <w:tab w:val="num" w:pos="6440"/>
        </w:tabs>
        <w:ind w:left="6440" w:hanging="360"/>
      </w:pPr>
      <w:rPr>
        <w:rFonts w:ascii="Courier New" w:hAnsi="Courier New" w:cs="Courier New" w:hint="default"/>
      </w:rPr>
    </w:lvl>
    <w:lvl w:ilvl="8" w:tplc="04090005" w:tentative="1">
      <w:start w:val="1"/>
      <w:numFmt w:val="bullet"/>
      <w:lvlText w:val=""/>
      <w:lvlJc w:val="left"/>
      <w:pPr>
        <w:tabs>
          <w:tab w:val="num" w:pos="7160"/>
        </w:tabs>
        <w:ind w:left="7160" w:hanging="360"/>
      </w:pPr>
      <w:rPr>
        <w:rFonts w:ascii="Wingdings" w:hAnsi="Wingdings" w:hint="default"/>
      </w:rPr>
    </w:lvl>
  </w:abstractNum>
  <w:abstractNum w:abstractNumId="2" w15:restartNumberingAfterBreak="0">
    <w:nsid w:val="383E7047"/>
    <w:multiLevelType w:val="hybridMultilevel"/>
    <w:tmpl w:val="56BA9E24"/>
    <w:lvl w:ilvl="0" w:tplc="0E669DA0">
      <w:start w:val="1"/>
      <w:numFmt w:val="bullet"/>
      <w:lvlText w:val=""/>
      <w:lvlJc w:val="left"/>
      <w:pPr>
        <w:tabs>
          <w:tab w:val="num" w:pos="910"/>
        </w:tabs>
        <w:ind w:left="910" w:hanging="360"/>
      </w:pPr>
      <w:rPr>
        <w:rFonts w:ascii="Wingdings" w:hAnsi="Wingdings" w:hint="default"/>
      </w:rPr>
    </w:lvl>
    <w:lvl w:ilvl="1" w:tplc="EC925186">
      <w:start w:val="1"/>
      <w:numFmt w:val="bullet"/>
      <w:lvlText w:val=""/>
      <w:lvlJc w:val="left"/>
      <w:pPr>
        <w:tabs>
          <w:tab w:val="num" w:pos="1729"/>
        </w:tabs>
        <w:ind w:left="1729" w:hanging="459"/>
      </w:pPr>
      <w:rPr>
        <w:rFonts w:ascii="Symbol" w:hAnsi="Symbol" w:hint="default"/>
      </w:rPr>
    </w:lvl>
    <w:lvl w:ilvl="2" w:tplc="04020005">
      <w:start w:val="1"/>
      <w:numFmt w:val="bullet"/>
      <w:lvlText w:val=""/>
      <w:lvlJc w:val="left"/>
      <w:pPr>
        <w:tabs>
          <w:tab w:val="num" w:pos="2350"/>
        </w:tabs>
        <w:ind w:left="2350" w:hanging="360"/>
      </w:pPr>
      <w:rPr>
        <w:rFonts w:ascii="Wingdings" w:hAnsi="Wingdings" w:hint="default"/>
      </w:rPr>
    </w:lvl>
    <w:lvl w:ilvl="3" w:tplc="04020001" w:tentative="1">
      <w:start w:val="1"/>
      <w:numFmt w:val="bullet"/>
      <w:lvlText w:val=""/>
      <w:lvlJc w:val="left"/>
      <w:pPr>
        <w:tabs>
          <w:tab w:val="num" w:pos="3070"/>
        </w:tabs>
        <w:ind w:left="3070" w:hanging="360"/>
      </w:pPr>
      <w:rPr>
        <w:rFonts w:ascii="Symbol" w:hAnsi="Symbol" w:hint="default"/>
      </w:rPr>
    </w:lvl>
    <w:lvl w:ilvl="4" w:tplc="04020003" w:tentative="1">
      <w:start w:val="1"/>
      <w:numFmt w:val="bullet"/>
      <w:lvlText w:val="o"/>
      <w:lvlJc w:val="left"/>
      <w:pPr>
        <w:tabs>
          <w:tab w:val="num" w:pos="3790"/>
        </w:tabs>
        <w:ind w:left="3790" w:hanging="360"/>
      </w:pPr>
      <w:rPr>
        <w:rFonts w:ascii="Courier New" w:hAnsi="Courier New" w:cs="Courier New" w:hint="default"/>
      </w:rPr>
    </w:lvl>
    <w:lvl w:ilvl="5" w:tplc="04020005" w:tentative="1">
      <w:start w:val="1"/>
      <w:numFmt w:val="bullet"/>
      <w:lvlText w:val=""/>
      <w:lvlJc w:val="left"/>
      <w:pPr>
        <w:tabs>
          <w:tab w:val="num" w:pos="4510"/>
        </w:tabs>
        <w:ind w:left="4510" w:hanging="360"/>
      </w:pPr>
      <w:rPr>
        <w:rFonts w:ascii="Wingdings" w:hAnsi="Wingdings" w:hint="default"/>
      </w:rPr>
    </w:lvl>
    <w:lvl w:ilvl="6" w:tplc="04020001" w:tentative="1">
      <w:start w:val="1"/>
      <w:numFmt w:val="bullet"/>
      <w:lvlText w:val=""/>
      <w:lvlJc w:val="left"/>
      <w:pPr>
        <w:tabs>
          <w:tab w:val="num" w:pos="5230"/>
        </w:tabs>
        <w:ind w:left="5230" w:hanging="360"/>
      </w:pPr>
      <w:rPr>
        <w:rFonts w:ascii="Symbol" w:hAnsi="Symbol" w:hint="default"/>
      </w:rPr>
    </w:lvl>
    <w:lvl w:ilvl="7" w:tplc="04020003" w:tentative="1">
      <w:start w:val="1"/>
      <w:numFmt w:val="bullet"/>
      <w:lvlText w:val="o"/>
      <w:lvlJc w:val="left"/>
      <w:pPr>
        <w:tabs>
          <w:tab w:val="num" w:pos="5950"/>
        </w:tabs>
        <w:ind w:left="5950" w:hanging="360"/>
      </w:pPr>
      <w:rPr>
        <w:rFonts w:ascii="Courier New" w:hAnsi="Courier New" w:cs="Courier New" w:hint="default"/>
      </w:rPr>
    </w:lvl>
    <w:lvl w:ilvl="8" w:tplc="04020005" w:tentative="1">
      <w:start w:val="1"/>
      <w:numFmt w:val="bullet"/>
      <w:lvlText w:val=""/>
      <w:lvlJc w:val="left"/>
      <w:pPr>
        <w:tabs>
          <w:tab w:val="num" w:pos="6670"/>
        </w:tabs>
        <w:ind w:left="6670" w:hanging="360"/>
      </w:pPr>
      <w:rPr>
        <w:rFonts w:ascii="Wingdings" w:hAnsi="Wingdings" w:hint="default"/>
      </w:rPr>
    </w:lvl>
  </w:abstractNum>
  <w:abstractNum w:abstractNumId="3" w15:restartNumberingAfterBreak="0">
    <w:nsid w:val="463C22E4"/>
    <w:multiLevelType w:val="hybridMultilevel"/>
    <w:tmpl w:val="6EB4697E"/>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15:restartNumberingAfterBreak="0">
    <w:nsid w:val="653C7203"/>
    <w:multiLevelType w:val="hybridMultilevel"/>
    <w:tmpl w:val="AF806300"/>
    <w:lvl w:ilvl="0" w:tplc="04020001">
      <w:start w:val="1"/>
      <w:numFmt w:val="bullet"/>
      <w:lvlText w:val=""/>
      <w:lvlJc w:val="left"/>
      <w:pPr>
        <w:tabs>
          <w:tab w:val="num" w:pos="1428"/>
        </w:tabs>
        <w:ind w:left="1428" w:hanging="360"/>
      </w:pPr>
      <w:rPr>
        <w:rFonts w:ascii="Symbol" w:hAnsi="Symbol" w:hint="default"/>
      </w:rPr>
    </w:lvl>
    <w:lvl w:ilvl="1" w:tplc="04020003" w:tentative="1">
      <w:start w:val="1"/>
      <w:numFmt w:val="bullet"/>
      <w:lvlText w:val="o"/>
      <w:lvlJc w:val="left"/>
      <w:pPr>
        <w:tabs>
          <w:tab w:val="num" w:pos="2148"/>
        </w:tabs>
        <w:ind w:left="2148" w:hanging="360"/>
      </w:pPr>
      <w:rPr>
        <w:rFonts w:ascii="Courier New" w:hAnsi="Courier New" w:cs="Courier New" w:hint="default"/>
      </w:rPr>
    </w:lvl>
    <w:lvl w:ilvl="2" w:tplc="04020005" w:tentative="1">
      <w:start w:val="1"/>
      <w:numFmt w:val="bullet"/>
      <w:lvlText w:val=""/>
      <w:lvlJc w:val="left"/>
      <w:pPr>
        <w:tabs>
          <w:tab w:val="num" w:pos="2868"/>
        </w:tabs>
        <w:ind w:left="2868" w:hanging="360"/>
      </w:pPr>
      <w:rPr>
        <w:rFonts w:ascii="Wingdings" w:hAnsi="Wingdings" w:hint="default"/>
      </w:rPr>
    </w:lvl>
    <w:lvl w:ilvl="3" w:tplc="04020001" w:tentative="1">
      <w:start w:val="1"/>
      <w:numFmt w:val="bullet"/>
      <w:lvlText w:val=""/>
      <w:lvlJc w:val="left"/>
      <w:pPr>
        <w:tabs>
          <w:tab w:val="num" w:pos="3588"/>
        </w:tabs>
        <w:ind w:left="3588" w:hanging="360"/>
      </w:pPr>
      <w:rPr>
        <w:rFonts w:ascii="Symbol" w:hAnsi="Symbol" w:hint="default"/>
      </w:rPr>
    </w:lvl>
    <w:lvl w:ilvl="4" w:tplc="04020003" w:tentative="1">
      <w:start w:val="1"/>
      <w:numFmt w:val="bullet"/>
      <w:lvlText w:val="o"/>
      <w:lvlJc w:val="left"/>
      <w:pPr>
        <w:tabs>
          <w:tab w:val="num" w:pos="4308"/>
        </w:tabs>
        <w:ind w:left="4308" w:hanging="360"/>
      </w:pPr>
      <w:rPr>
        <w:rFonts w:ascii="Courier New" w:hAnsi="Courier New" w:cs="Courier New" w:hint="default"/>
      </w:rPr>
    </w:lvl>
    <w:lvl w:ilvl="5" w:tplc="04020005" w:tentative="1">
      <w:start w:val="1"/>
      <w:numFmt w:val="bullet"/>
      <w:lvlText w:val=""/>
      <w:lvlJc w:val="left"/>
      <w:pPr>
        <w:tabs>
          <w:tab w:val="num" w:pos="5028"/>
        </w:tabs>
        <w:ind w:left="5028" w:hanging="360"/>
      </w:pPr>
      <w:rPr>
        <w:rFonts w:ascii="Wingdings" w:hAnsi="Wingdings" w:hint="default"/>
      </w:rPr>
    </w:lvl>
    <w:lvl w:ilvl="6" w:tplc="04020001" w:tentative="1">
      <w:start w:val="1"/>
      <w:numFmt w:val="bullet"/>
      <w:lvlText w:val=""/>
      <w:lvlJc w:val="left"/>
      <w:pPr>
        <w:tabs>
          <w:tab w:val="num" w:pos="5748"/>
        </w:tabs>
        <w:ind w:left="5748" w:hanging="360"/>
      </w:pPr>
      <w:rPr>
        <w:rFonts w:ascii="Symbol" w:hAnsi="Symbol" w:hint="default"/>
      </w:rPr>
    </w:lvl>
    <w:lvl w:ilvl="7" w:tplc="04020003" w:tentative="1">
      <w:start w:val="1"/>
      <w:numFmt w:val="bullet"/>
      <w:lvlText w:val="o"/>
      <w:lvlJc w:val="left"/>
      <w:pPr>
        <w:tabs>
          <w:tab w:val="num" w:pos="6468"/>
        </w:tabs>
        <w:ind w:left="6468" w:hanging="360"/>
      </w:pPr>
      <w:rPr>
        <w:rFonts w:ascii="Courier New" w:hAnsi="Courier New" w:cs="Courier New" w:hint="default"/>
      </w:rPr>
    </w:lvl>
    <w:lvl w:ilvl="8" w:tplc="04020005" w:tentative="1">
      <w:start w:val="1"/>
      <w:numFmt w:val="bullet"/>
      <w:lvlText w:val=""/>
      <w:lvlJc w:val="left"/>
      <w:pPr>
        <w:tabs>
          <w:tab w:val="num" w:pos="7188"/>
        </w:tabs>
        <w:ind w:left="7188" w:hanging="360"/>
      </w:pPr>
      <w:rPr>
        <w:rFonts w:ascii="Wingdings" w:hAnsi="Wingdings" w:hint="default"/>
      </w:rPr>
    </w:lvl>
  </w:abstractNum>
  <w:num w:numId="1">
    <w:abstractNumId w:val="1"/>
  </w:num>
  <w:num w:numId="2">
    <w:abstractNumId w:val="4"/>
  </w:num>
  <w:num w:numId="3">
    <w:abstractNumId w:val="0"/>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2925"/>
    <w:rsid w:val="0028472C"/>
    <w:rsid w:val="002F2925"/>
    <w:rsid w:val="005D604D"/>
    <w:rsid w:val="006421E9"/>
    <w:rsid w:val="00B46068"/>
    <w:rsid w:val="00CC76BA"/>
    <w:rsid w:val="00E515EB"/>
    <w:rsid w:val="00E539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CDA931"/>
  <w15:chartTrackingRefBased/>
  <w15:docId w15:val="{7478EC29-9610-4CF1-BA05-59E5DBC523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F2925"/>
    <w:pPr>
      <w:spacing w:line="256" w:lineRule="auto"/>
    </w:pPr>
    <w:rPr>
      <w:rFonts w:ascii="Calibri" w:eastAsia="Calibri" w:hAnsi="Calibri" w:cs="Times New Roman"/>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basedOn w:val="Normal"/>
    <w:uiPriority w:val="1"/>
    <w:qFormat/>
    <w:rsid w:val="002F2925"/>
    <w:pPr>
      <w:spacing w:after="0" w:line="240" w:lineRule="auto"/>
    </w:pPr>
    <w:rPr>
      <w:rFonts w:cs="Calibri"/>
      <w:lang w:eastAsia="bg-BG"/>
    </w:rPr>
  </w:style>
  <w:style w:type="paragraph" w:styleId="BodyTextIndent">
    <w:name w:val="Body Text Indent"/>
    <w:basedOn w:val="Normal"/>
    <w:link w:val="BodyTextIndentChar"/>
    <w:uiPriority w:val="99"/>
    <w:rsid w:val="002F2925"/>
    <w:pPr>
      <w:spacing w:after="120" w:line="240" w:lineRule="auto"/>
      <w:ind w:left="283"/>
    </w:pPr>
    <w:rPr>
      <w:rFonts w:ascii="Times New Roman" w:eastAsia="Times New Roman" w:hAnsi="Times New Roman"/>
      <w:sz w:val="28"/>
      <w:szCs w:val="28"/>
      <w:lang w:val="en-AU"/>
    </w:rPr>
  </w:style>
  <w:style w:type="character" w:customStyle="1" w:styleId="BodyTextIndentChar">
    <w:name w:val="Body Text Indent Char"/>
    <w:basedOn w:val="DefaultParagraphFont"/>
    <w:link w:val="BodyTextIndent"/>
    <w:uiPriority w:val="99"/>
    <w:rsid w:val="002F2925"/>
    <w:rPr>
      <w:rFonts w:ascii="Times New Roman" w:eastAsia="Times New Roman" w:hAnsi="Times New Roman" w:cs="Times New Roman"/>
      <w:sz w:val="28"/>
      <w:szCs w:val="28"/>
      <w:lang w:val="en-AU"/>
    </w:rPr>
  </w:style>
  <w:style w:type="paragraph" w:styleId="BodyText3">
    <w:name w:val="Body Text 3"/>
    <w:basedOn w:val="Normal"/>
    <w:link w:val="BodyText3Char"/>
    <w:uiPriority w:val="99"/>
    <w:rsid w:val="002F2925"/>
    <w:pPr>
      <w:spacing w:after="120" w:line="240" w:lineRule="auto"/>
    </w:pPr>
    <w:rPr>
      <w:rFonts w:ascii="Times New Roman" w:eastAsia="Times New Roman" w:hAnsi="Times New Roman"/>
      <w:sz w:val="16"/>
      <w:szCs w:val="16"/>
      <w:lang w:val="en-AU"/>
    </w:rPr>
  </w:style>
  <w:style w:type="character" w:customStyle="1" w:styleId="BodyText3Char">
    <w:name w:val="Body Text 3 Char"/>
    <w:basedOn w:val="DefaultParagraphFont"/>
    <w:link w:val="BodyText3"/>
    <w:uiPriority w:val="99"/>
    <w:rsid w:val="002F2925"/>
    <w:rPr>
      <w:rFonts w:ascii="Times New Roman" w:eastAsia="Times New Roman" w:hAnsi="Times New Roman" w:cs="Times New Roman"/>
      <w:sz w:val="16"/>
      <w:szCs w:val="16"/>
      <w:lang w:val="en-AU"/>
    </w:rPr>
  </w:style>
  <w:style w:type="paragraph" w:styleId="ListParagraph">
    <w:name w:val="List Paragraph"/>
    <w:basedOn w:val="Normal"/>
    <w:uiPriority w:val="34"/>
    <w:qFormat/>
    <w:rsid w:val="002F2925"/>
    <w:pPr>
      <w:spacing w:after="0" w:line="240" w:lineRule="auto"/>
      <w:ind w:left="720"/>
      <w:contextualSpacing/>
    </w:pPr>
    <w:rPr>
      <w:rFonts w:ascii="Times New Roman" w:eastAsia="Times New Roman" w:hAnsi="Times New Roman"/>
      <w:sz w:val="28"/>
      <w:szCs w:val="28"/>
      <w:lang w:val="en-AU"/>
    </w:rPr>
  </w:style>
  <w:style w:type="paragraph" w:styleId="BodyText2">
    <w:name w:val="Body Text 2"/>
    <w:basedOn w:val="Normal"/>
    <w:link w:val="BodyText2Char"/>
    <w:uiPriority w:val="99"/>
    <w:semiHidden/>
    <w:unhideWhenUsed/>
    <w:rsid w:val="002F2925"/>
    <w:pPr>
      <w:spacing w:after="120" w:line="480" w:lineRule="auto"/>
    </w:pPr>
  </w:style>
  <w:style w:type="character" w:customStyle="1" w:styleId="BodyText2Char">
    <w:name w:val="Body Text 2 Char"/>
    <w:basedOn w:val="DefaultParagraphFont"/>
    <w:link w:val="BodyText2"/>
    <w:uiPriority w:val="99"/>
    <w:semiHidden/>
    <w:rsid w:val="002F2925"/>
    <w:rPr>
      <w:rFonts w:ascii="Calibri" w:eastAsia="Calibri" w:hAnsi="Calibri" w:cs="Times New Roman"/>
      <w:lang w:val="bg-BG"/>
    </w:rPr>
  </w:style>
  <w:style w:type="paragraph" w:styleId="FootnoteText">
    <w:name w:val="footnote text"/>
    <w:basedOn w:val="Normal"/>
    <w:link w:val="FootnoteTextChar"/>
    <w:uiPriority w:val="99"/>
    <w:semiHidden/>
    <w:rsid w:val="002F2925"/>
    <w:pPr>
      <w:spacing w:after="0" w:line="240" w:lineRule="auto"/>
    </w:pPr>
    <w:rPr>
      <w:rFonts w:ascii="Times New Roman" w:eastAsia="Times New Roman" w:hAnsi="Times New Roman"/>
      <w:sz w:val="20"/>
      <w:szCs w:val="20"/>
      <w:lang w:val="en-AU"/>
    </w:rPr>
  </w:style>
  <w:style w:type="character" w:customStyle="1" w:styleId="FootnoteTextChar">
    <w:name w:val="Footnote Text Char"/>
    <w:basedOn w:val="DefaultParagraphFont"/>
    <w:link w:val="FootnoteText"/>
    <w:uiPriority w:val="99"/>
    <w:semiHidden/>
    <w:rsid w:val="002F2925"/>
    <w:rPr>
      <w:rFonts w:ascii="Times New Roman" w:eastAsia="Times New Roman" w:hAnsi="Times New Roman" w:cs="Times New Roman"/>
      <w:sz w:val="20"/>
      <w:szCs w:val="20"/>
      <w:lang w:val="en-AU"/>
    </w:rPr>
  </w:style>
  <w:style w:type="character" w:styleId="FootnoteReference">
    <w:name w:val="footnote reference"/>
    <w:uiPriority w:val="99"/>
    <w:semiHidden/>
    <w:rsid w:val="002F2925"/>
    <w:rPr>
      <w:vertAlign w:val="superscript"/>
    </w:rPr>
  </w:style>
  <w:style w:type="paragraph" w:styleId="PlainText">
    <w:name w:val="Plain Text"/>
    <w:basedOn w:val="Normal"/>
    <w:link w:val="PlainTextChar"/>
    <w:rsid w:val="002F2925"/>
    <w:pPr>
      <w:spacing w:after="0" w:line="240" w:lineRule="auto"/>
    </w:pPr>
    <w:rPr>
      <w:rFonts w:ascii="Courier New" w:eastAsia="Times New Roman" w:hAnsi="Courier New"/>
      <w:sz w:val="20"/>
      <w:szCs w:val="20"/>
      <w:lang w:val="en-AU"/>
    </w:rPr>
  </w:style>
  <w:style w:type="character" w:customStyle="1" w:styleId="PlainTextChar">
    <w:name w:val="Plain Text Char"/>
    <w:basedOn w:val="DefaultParagraphFont"/>
    <w:link w:val="PlainText"/>
    <w:rsid w:val="002F2925"/>
    <w:rPr>
      <w:rFonts w:ascii="Courier New" w:eastAsia="Times New Roman" w:hAnsi="Courier New" w:cs="Times New Roman"/>
      <w:sz w:val="20"/>
      <w:szCs w:val="20"/>
      <w:lang w:val="en-AU"/>
    </w:rPr>
  </w:style>
  <w:style w:type="paragraph" w:styleId="BodyText">
    <w:name w:val="Body Text"/>
    <w:basedOn w:val="Normal"/>
    <w:link w:val="BodyTextChar"/>
    <w:rsid w:val="002F2925"/>
    <w:pPr>
      <w:spacing w:after="120" w:line="240" w:lineRule="auto"/>
    </w:pPr>
    <w:rPr>
      <w:rFonts w:ascii="Times New Roman" w:eastAsia="Times New Roman" w:hAnsi="Times New Roman"/>
      <w:sz w:val="28"/>
      <w:szCs w:val="28"/>
      <w:lang w:val="en-AU"/>
    </w:rPr>
  </w:style>
  <w:style w:type="character" w:customStyle="1" w:styleId="BodyTextChar">
    <w:name w:val="Body Text Char"/>
    <w:basedOn w:val="DefaultParagraphFont"/>
    <w:link w:val="BodyText"/>
    <w:rsid w:val="002F2925"/>
    <w:rPr>
      <w:rFonts w:ascii="Times New Roman" w:eastAsia="Times New Roman" w:hAnsi="Times New Roman" w:cs="Times New Roman"/>
      <w:sz w:val="28"/>
      <w:szCs w:val="28"/>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10</Pages>
  <Words>4470</Words>
  <Characters>25482</Characters>
  <Application>Microsoft Office Word</Application>
  <DocSecurity>0</DocSecurity>
  <Lines>212</Lines>
  <Paragraphs>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29893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Драгомир К. Драганов</dc:creator>
  <cp:keywords/>
  <dc:description/>
  <cp:lastModifiedBy>Драгомир К. Драганов</cp:lastModifiedBy>
  <cp:revision>2</cp:revision>
  <dcterms:created xsi:type="dcterms:W3CDTF">2020-10-16T07:28:00Z</dcterms:created>
  <dcterms:modified xsi:type="dcterms:W3CDTF">2020-10-16T07:52:00Z</dcterms:modified>
</cp:coreProperties>
</file>